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FD21" w14:textId="5A28FD15" w:rsidR="004918F7" w:rsidRPr="00A21A76" w:rsidRDefault="004918F7" w:rsidP="00880FA2">
      <w:pPr>
        <w:jc w:val="both"/>
        <w:rPr>
          <w:rFonts w:ascii="Arial" w:hAnsi="Arial" w:cs="Arial"/>
          <w:b/>
          <w:color w:val="595959" w:themeColor="text1" w:themeTint="A6"/>
          <w:sz w:val="28"/>
        </w:rPr>
      </w:pPr>
      <w:r w:rsidRPr="00A21A76">
        <w:rPr>
          <w:rFonts w:ascii="Arial" w:hAnsi="Arial" w:cs="Arial"/>
          <w:b/>
          <w:color w:val="595959" w:themeColor="text1" w:themeTint="A6"/>
          <w:sz w:val="28"/>
        </w:rPr>
        <w:t>Verpflichtung auf das Datengeheimnis/Verschwiegenheitserklärung</w:t>
      </w:r>
    </w:p>
    <w:p w14:paraId="16663FB7" w14:textId="77777777" w:rsidR="00EB1422" w:rsidRDefault="00EB1422" w:rsidP="00880FA2">
      <w:pPr>
        <w:jc w:val="both"/>
        <w:rPr>
          <w:rFonts w:ascii="Arial" w:hAnsi="Arial" w:cs="Arial"/>
          <w:color w:val="595959" w:themeColor="text1" w:themeTint="A6"/>
        </w:rPr>
      </w:pPr>
    </w:p>
    <w:p w14:paraId="67DF955B" w14:textId="25E9D392" w:rsidR="004918F7" w:rsidRPr="00A21A76" w:rsidRDefault="00880FA2" w:rsidP="00880FA2">
      <w:pPr>
        <w:jc w:val="both"/>
        <w:rPr>
          <w:rFonts w:ascii="Arial" w:hAnsi="Arial" w:cs="Arial"/>
          <w:color w:val="595959" w:themeColor="text1" w:themeTint="A6"/>
        </w:rPr>
      </w:pPr>
      <w:r w:rsidRPr="00A21A76">
        <w:rPr>
          <w:rFonts w:ascii="Arial" w:hAnsi="Arial" w:cs="Arial"/>
          <w:color w:val="595959" w:themeColor="text1" w:themeTint="A6"/>
        </w:rPr>
        <w:t>Sehr geehrte Damen und Herren</w:t>
      </w:r>
      <w:r w:rsidR="004918F7" w:rsidRPr="00A21A76">
        <w:rPr>
          <w:rFonts w:ascii="Arial" w:hAnsi="Arial" w:cs="Arial"/>
          <w:color w:val="595959" w:themeColor="text1" w:themeTint="A6"/>
        </w:rPr>
        <w:t>,</w:t>
      </w:r>
    </w:p>
    <w:p w14:paraId="0771B102" w14:textId="77777777" w:rsidR="004918F7" w:rsidRPr="00A21A76" w:rsidRDefault="004918F7" w:rsidP="00880FA2">
      <w:pPr>
        <w:jc w:val="both"/>
        <w:rPr>
          <w:rFonts w:ascii="Arial" w:hAnsi="Arial" w:cs="Arial"/>
          <w:color w:val="595959" w:themeColor="text1" w:themeTint="A6"/>
          <w:szCs w:val="24"/>
        </w:rPr>
      </w:pPr>
      <w:r w:rsidRPr="00A21A76">
        <w:rPr>
          <w:rFonts w:ascii="Arial" w:hAnsi="Arial" w:cs="Arial"/>
          <w:color w:val="595959" w:themeColor="text1" w:themeTint="A6"/>
        </w:rPr>
        <w:t>a</w:t>
      </w:r>
      <w:r w:rsidR="00B80A03" w:rsidRPr="00A21A76">
        <w:rPr>
          <w:rFonts w:ascii="Arial" w:hAnsi="Arial" w:cs="Arial"/>
          <w:color w:val="595959" w:themeColor="text1" w:themeTint="A6"/>
        </w:rPr>
        <w:t>lle Mitarbeiter, die mit der Erhebung, Verarbeitung oder Nutzung personenbezogener Daten beschäftigt sind, sind auf das sog. Datengeheimnis zu verpflichten. Danach ha</w:t>
      </w:r>
      <w:r w:rsidR="00880FA2" w:rsidRPr="00A21A76">
        <w:rPr>
          <w:rFonts w:ascii="Arial" w:hAnsi="Arial" w:cs="Arial"/>
          <w:color w:val="595959" w:themeColor="text1" w:themeTint="A6"/>
        </w:rPr>
        <w:t>ben Si</w:t>
      </w:r>
      <w:r w:rsidR="00B80A03" w:rsidRPr="00A21A76">
        <w:rPr>
          <w:rFonts w:ascii="Arial" w:hAnsi="Arial" w:cs="Arial"/>
          <w:color w:val="595959" w:themeColor="text1" w:themeTint="A6"/>
        </w:rPr>
        <w:t>e Verschwiege</w:t>
      </w:r>
      <w:r w:rsidR="00880FA2" w:rsidRPr="00A21A76">
        <w:rPr>
          <w:rFonts w:ascii="Arial" w:hAnsi="Arial" w:cs="Arial"/>
          <w:color w:val="595959" w:themeColor="text1" w:themeTint="A6"/>
        </w:rPr>
        <w:t>nheit über die I</w:t>
      </w:r>
      <w:r w:rsidR="00B80A03" w:rsidRPr="00A21A76">
        <w:rPr>
          <w:rFonts w:ascii="Arial" w:hAnsi="Arial" w:cs="Arial"/>
          <w:color w:val="595959" w:themeColor="text1" w:themeTint="A6"/>
        </w:rPr>
        <w:t xml:space="preserve">hnen bei der Datenverarbeitung bekannt gewordenen personenbezogenen Daten zu wahren. Der Arbeitgeber hat diese Verpflichtung den Mitarbeitern gegenüber zweckmäßigerweise schriftlich vorzunehmen, dabei sind die Mitarbeiter entsprechend zu unterweisen. Zu verpflichten </w:t>
      </w:r>
      <w:r w:rsidR="00B80A03" w:rsidRPr="00A21A76">
        <w:rPr>
          <w:rFonts w:ascii="Arial" w:hAnsi="Arial" w:cs="Arial"/>
          <w:color w:val="595959" w:themeColor="text1" w:themeTint="A6"/>
          <w:szCs w:val="24"/>
        </w:rPr>
        <w:t xml:space="preserve">sind alle Mitarbeiter, die personen-bezogene Daten - auch nur als Teil ihrer Arbeit - in automatisierten Verfahren oder in oder aus nicht automatisierten Dateien erheben, verarbeiten oder nutzen. </w:t>
      </w:r>
    </w:p>
    <w:p w14:paraId="314AE48E" w14:textId="6981713D" w:rsidR="00A21A76" w:rsidRPr="00A21A76" w:rsidRDefault="004918F7" w:rsidP="00880FA2">
      <w:pPr>
        <w:jc w:val="both"/>
        <w:rPr>
          <w:rFonts w:ascii="Arial" w:hAnsi="Arial" w:cs="Arial"/>
          <w:color w:val="595959" w:themeColor="text1" w:themeTint="A6"/>
          <w:szCs w:val="24"/>
        </w:rPr>
      </w:pPr>
      <w:r w:rsidRPr="00A21A76">
        <w:rPr>
          <w:rFonts w:ascii="Arial" w:hAnsi="Arial" w:cs="Arial"/>
          <w:color w:val="595959" w:themeColor="text1" w:themeTint="A6"/>
          <w:szCs w:val="24"/>
        </w:rPr>
        <w:t xml:space="preserve">Es empfiehlt sich in der Praxis, den Kreis der Personen, die zu schulen und zu verpflichten sind, nicht zu eng zu ziehen. Einzubeziehen in den Kreis der zu Verpflichtenden sind auch Teilzeitkräfte und Auszubildende. Da eine Verpflichtung das Wissen um ihren Gegenstand voraussetzt, ist sie regelmäßig zusammen mit einer Unterweisung abzunehmen. Hierzu werden den Mitarbeitern regelmäßig auf die Unternehmenssituation bezogene Merkblätter zum Datenschutzzusammen mit der Verschwiegenheitserklärung übergeben. </w:t>
      </w:r>
    </w:p>
    <w:p w14:paraId="7456E4CB" w14:textId="6615E5AA" w:rsidR="002519EC" w:rsidRDefault="004918F7" w:rsidP="00880FA2">
      <w:pPr>
        <w:jc w:val="both"/>
        <w:rPr>
          <w:rFonts w:ascii="Arial" w:hAnsi="Arial" w:cs="Arial"/>
          <w:color w:val="595959" w:themeColor="text1" w:themeTint="A6"/>
          <w:szCs w:val="24"/>
        </w:rPr>
      </w:pPr>
      <w:r w:rsidRPr="00A21A76">
        <w:rPr>
          <w:rFonts w:ascii="Arial" w:hAnsi="Arial" w:cs="Arial"/>
          <w:color w:val="595959" w:themeColor="text1" w:themeTint="A6"/>
          <w:szCs w:val="24"/>
        </w:rPr>
        <w:t xml:space="preserve">Rechtsgrundlage: </w:t>
      </w:r>
      <w:r w:rsidR="00A21A76" w:rsidRPr="00A21A76">
        <w:rPr>
          <w:rFonts w:ascii="Arial" w:hAnsi="Arial" w:cs="Arial"/>
          <w:color w:val="595959" w:themeColor="text1" w:themeTint="A6"/>
          <w:szCs w:val="24"/>
          <w:shd w:val="clear" w:color="auto" w:fill="FFFFFF"/>
        </w:rPr>
        <w:t xml:space="preserve">Art. </w:t>
      </w:r>
      <w:r w:rsidR="00A21A76">
        <w:rPr>
          <w:rFonts w:ascii="Arial" w:hAnsi="Arial" w:cs="Arial"/>
          <w:color w:val="595959" w:themeColor="text1" w:themeTint="A6"/>
          <w:szCs w:val="24"/>
          <w:shd w:val="clear" w:color="auto" w:fill="FFFFFF"/>
        </w:rPr>
        <w:t>32</w:t>
      </w:r>
      <w:r w:rsidR="00A21A76" w:rsidRPr="00A21A76">
        <w:rPr>
          <w:rFonts w:ascii="Arial" w:hAnsi="Arial" w:cs="Arial"/>
          <w:color w:val="595959" w:themeColor="text1" w:themeTint="A6"/>
          <w:szCs w:val="24"/>
          <w:shd w:val="clear" w:color="auto" w:fill="FFFFFF"/>
        </w:rPr>
        <w:t xml:space="preserve"> </w:t>
      </w:r>
      <w:r w:rsidR="00EB1422">
        <w:rPr>
          <w:rFonts w:ascii="Arial" w:hAnsi="Arial" w:cs="Arial"/>
          <w:color w:val="595959" w:themeColor="text1" w:themeTint="A6"/>
          <w:szCs w:val="24"/>
          <w:shd w:val="clear" w:color="auto" w:fill="FFFFFF"/>
        </w:rPr>
        <w:t>Abs.</w:t>
      </w:r>
      <w:r w:rsidR="00A21A76" w:rsidRPr="00A21A76">
        <w:rPr>
          <w:rFonts w:ascii="Arial" w:hAnsi="Arial" w:cs="Arial"/>
          <w:color w:val="595959" w:themeColor="text1" w:themeTint="A6"/>
          <w:szCs w:val="24"/>
          <w:shd w:val="clear" w:color="auto" w:fill="FFFFFF"/>
        </w:rPr>
        <w:t xml:space="preserve"> </w:t>
      </w:r>
      <w:r w:rsidR="00A21A76">
        <w:rPr>
          <w:rFonts w:ascii="Arial" w:hAnsi="Arial" w:cs="Arial"/>
          <w:color w:val="595959" w:themeColor="text1" w:themeTint="A6"/>
          <w:szCs w:val="24"/>
          <w:shd w:val="clear" w:color="auto" w:fill="FFFFFF"/>
        </w:rPr>
        <w:t>1</w:t>
      </w:r>
      <w:r w:rsidR="00A21A76" w:rsidRPr="00A21A76">
        <w:rPr>
          <w:rFonts w:ascii="Arial" w:hAnsi="Arial" w:cs="Arial"/>
          <w:color w:val="595959" w:themeColor="text1" w:themeTint="A6"/>
          <w:szCs w:val="24"/>
          <w:shd w:val="clear" w:color="auto" w:fill="FFFFFF"/>
        </w:rPr>
        <w:t xml:space="preserve"> lit. b)</w:t>
      </w:r>
      <w:r w:rsidR="00A21A76">
        <w:rPr>
          <w:rFonts w:ascii="Arial" w:hAnsi="Arial" w:cs="Arial"/>
          <w:color w:val="595959" w:themeColor="text1" w:themeTint="A6"/>
          <w:szCs w:val="24"/>
          <w:shd w:val="clear" w:color="auto" w:fill="FFFFFF"/>
        </w:rPr>
        <w:t xml:space="preserve"> 2. Var.</w:t>
      </w:r>
      <w:r w:rsidR="00A21A76" w:rsidRPr="00A21A76">
        <w:rPr>
          <w:rFonts w:ascii="Arial" w:hAnsi="Arial" w:cs="Arial"/>
          <w:color w:val="595959" w:themeColor="text1" w:themeTint="A6"/>
          <w:szCs w:val="24"/>
          <w:shd w:val="clear" w:color="auto" w:fill="FFFFFF"/>
        </w:rPr>
        <w:t xml:space="preserve"> DSGV</w:t>
      </w:r>
      <w:r w:rsidR="004D7824">
        <w:rPr>
          <w:rFonts w:ascii="Arial" w:hAnsi="Arial" w:cs="Arial"/>
          <w:color w:val="595959" w:themeColor="text1" w:themeTint="A6"/>
          <w:szCs w:val="24"/>
          <w:shd w:val="clear" w:color="auto" w:fill="FFFFFF"/>
        </w:rPr>
        <w:t>O</w:t>
      </w:r>
      <w:r w:rsidR="005A347A">
        <w:rPr>
          <w:rFonts w:ascii="Arial" w:hAnsi="Arial" w:cs="Arial"/>
          <w:color w:val="595959" w:themeColor="text1" w:themeTint="A6"/>
          <w:szCs w:val="24"/>
          <w:shd w:val="clear" w:color="auto" w:fill="FFFFFF"/>
        </w:rPr>
        <w:t>, § 53 BDSG-neu</w:t>
      </w:r>
    </w:p>
    <w:p w14:paraId="46268735" w14:textId="77777777" w:rsidR="00A21A76" w:rsidRPr="00A21A76" w:rsidRDefault="00A21A76" w:rsidP="00880FA2">
      <w:pPr>
        <w:jc w:val="both"/>
        <w:rPr>
          <w:rFonts w:ascii="Arial" w:hAnsi="Arial" w:cs="Arial"/>
          <w:color w:val="595959" w:themeColor="text1" w:themeTint="A6"/>
          <w:szCs w:val="24"/>
        </w:rPr>
      </w:pPr>
    </w:p>
    <w:p w14:paraId="749DAABA" w14:textId="239EE754" w:rsidR="00785951" w:rsidRDefault="00785951" w:rsidP="00785951">
      <w:pPr>
        <w:jc w:val="both"/>
        <w:rPr>
          <w:rFonts w:ascii="Arial" w:hAnsi="Arial" w:cs="Arial"/>
          <w:color w:val="595959" w:themeColor="text1" w:themeTint="A6"/>
        </w:rPr>
      </w:pPr>
      <w:r w:rsidRPr="00A21A76">
        <w:rPr>
          <w:rFonts w:ascii="Arial" w:hAnsi="Arial" w:cs="Arial"/>
          <w:color w:val="595959" w:themeColor="text1" w:themeTint="A6"/>
        </w:rPr>
        <w:t>Bei Fragen kontaktieren Sie mich gerne.</w:t>
      </w:r>
    </w:p>
    <w:p w14:paraId="221D3EBC" w14:textId="07389430" w:rsidR="00036C1B" w:rsidRPr="00036C1B" w:rsidRDefault="00036C1B" w:rsidP="00785951">
      <w:pPr>
        <w:jc w:val="both"/>
        <w:rPr>
          <w:rFonts w:ascii="Arial" w:hAnsi="Arial" w:cs="Arial"/>
          <w:color w:val="FF0000"/>
        </w:rPr>
      </w:pPr>
      <w:r>
        <w:rPr>
          <w:rFonts w:ascii="Arial" w:hAnsi="Arial" w:cs="Arial"/>
          <w:color w:val="FF0000"/>
        </w:rPr>
        <w:t>(</w:t>
      </w:r>
      <w:r w:rsidRPr="00036C1B">
        <w:rPr>
          <w:rFonts w:ascii="Arial" w:hAnsi="Arial" w:cs="Arial"/>
          <w:color w:val="FF0000"/>
        </w:rPr>
        <w:t>Kontaktdaten des Datenschutzbeauftragten</w:t>
      </w:r>
      <w:r>
        <w:rPr>
          <w:rFonts w:ascii="Arial" w:hAnsi="Arial" w:cs="Arial"/>
          <w:color w:val="FF0000"/>
        </w:rPr>
        <w:t>)</w:t>
      </w:r>
    </w:p>
    <w:p w14:paraId="5FABA046" w14:textId="60C9086F" w:rsidR="00785951" w:rsidRPr="00D601BA" w:rsidRDefault="0012663F" w:rsidP="00785951">
      <w:pPr>
        <w:jc w:val="both"/>
        <w:rPr>
          <w:rStyle w:val="Hyperlink"/>
          <w:rFonts w:ascii="Arial" w:hAnsi="Arial" w:cs="Arial"/>
          <w:color w:val="FF0000"/>
        </w:rPr>
      </w:pPr>
      <w:hyperlink r:id="rId7" w:history="1">
        <w:proofErr w:type="spellStart"/>
        <w:r w:rsidR="004111DD">
          <w:rPr>
            <w:rStyle w:val="Hyperlink"/>
            <w:rFonts w:ascii="Arial" w:hAnsi="Arial" w:cs="Arial"/>
            <w:color w:val="FF0000"/>
          </w:rPr>
          <w:t>max</w:t>
        </w:r>
        <w:proofErr w:type="spellEnd"/>
      </w:hyperlink>
      <w:r w:rsidR="004111DD">
        <w:rPr>
          <w:rStyle w:val="Hyperlink"/>
          <w:rFonts w:ascii="Arial" w:hAnsi="Arial" w:cs="Arial"/>
          <w:color w:val="FF0000"/>
        </w:rPr>
        <w:t xml:space="preserve"> </w:t>
      </w:r>
      <w:proofErr w:type="spellStart"/>
      <w:r w:rsidR="004111DD">
        <w:rPr>
          <w:rStyle w:val="Hyperlink"/>
          <w:rFonts w:ascii="Arial" w:hAnsi="Arial" w:cs="Arial"/>
          <w:color w:val="FF0000"/>
        </w:rPr>
        <w:t>mustermann@musterwebsite</w:t>
      </w:r>
      <w:proofErr w:type="spellEnd"/>
    </w:p>
    <w:p w14:paraId="1D425965" w14:textId="0708EC3D" w:rsidR="00785951" w:rsidRDefault="004111DD" w:rsidP="00785951">
      <w:pPr>
        <w:jc w:val="both"/>
        <w:rPr>
          <w:rFonts w:ascii="Arial" w:hAnsi="Arial" w:cs="Arial"/>
          <w:color w:val="FF0000"/>
        </w:rPr>
      </w:pPr>
      <w:r>
        <w:rPr>
          <w:rFonts w:ascii="Arial" w:hAnsi="Arial" w:cs="Arial"/>
          <w:color w:val="FF0000"/>
        </w:rPr>
        <w:t>Muster-Telefonnummer</w:t>
      </w:r>
    </w:p>
    <w:p w14:paraId="7C5B9BA6" w14:textId="7180B035" w:rsidR="004111DD" w:rsidRDefault="004111DD" w:rsidP="00785951">
      <w:pPr>
        <w:jc w:val="both"/>
        <w:rPr>
          <w:rFonts w:ascii="Arial" w:hAnsi="Arial" w:cs="Arial"/>
          <w:color w:val="FF0000"/>
        </w:rPr>
      </w:pPr>
      <w:r>
        <w:rPr>
          <w:rFonts w:ascii="Arial" w:hAnsi="Arial" w:cs="Arial"/>
          <w:color w:val="FF0000"/>
        </w:rPr>
        <w:t>Muster-Adresse</w:t>
      </w:r>
    </w:p>
    <w:p w14:paraId="70F4DB9C" w14:textId="7D159B98" w:rsidR="004111DD" w:rsidRPr="00D601BA" w:rsidRDefault="004111DD" w:rsidP="00785951">
      <w:pPr>
        <w:jc w:val="both"/>
        <w:rPr>
          <w:rFonts w:ascii="Arial" w:hAnsi="Arial" w:cs="Arial"/>
          <w:color w:val="FF0000"/>
        </w:rPr>
      </w:pPr>
      <w:r>
        <w:rPr>
          <w:rFonts w:ascii="Arial" w:hAnsi="Arial" w:cs="Arial"/>
          <w:color w:val="FF0000"/>
        </w:rPr>
        <w:t>Muster-Website</w:t>
      </w:r>
    </w:p>
    <w:p w14:paraId="07021ACE" w14:textId="77777777" w:rsidR="00A21A76" w:rsidRPr="00A21A76" w:rsidRDefault="00A21A76" w:rsidP="00785951">
      <w:pPr>
        <w:jc w:val="both"/>
        <w:rPr>
          <w:rFonts w:ascii="Arial" w:hAnsi="Arial" w:cs="Arial"/>
          <w:color w:val="595959" w:themeColor="text1" w:themeTint="A6"/>
        </w:rPr>
      </w:pPr>
    </w:p>
    <w:p w14:paraId="7405882B" w14:textId="4F1DE59A" w:rsidR="00785951" w:rsidRDefault="00785951" w:rsidP="00785951">
      <w:pPr>
        <w:jc w:val="both"/>
        <w:rPr>
          <w:rFonts w:ascii="Arial" w:hAnsi="Arial" w:cs="Arial"/>
          <w:color w:val="595959" w:themeColor="text1" w:themeTint="A6"/>
        </w:rPr>
      </w:pPr>
      <w:r w:rsidRPr="00A21A76">
        <w:rPr>
          <w:rFonts w:ascii="Arial" w:hAnsi="Arial" w:cs="Arial"/>
          <w:color w:val="595959" w:themeColor="text1" w:themeTint="A6"/>
        </w:rPr>
        <w:t>Mit freundlichen Grüßen</w:t>
      </w:r>
    </w:p>
    <w:p w14:paraId="48FE2D9F" w14:textId="77777777" w:rsidR="00A21A76" w:rsidRPr="00A21A76" w:rsidRDefault="00A21A76" w:rsidP="00785951">
      <w:pPr>
        <w:jc w:val="both"/>
        <w:rPr>
          <w:rFonts w:ascii="Arial" w:hAnsi="Arial" w:cs="Arial"/>
          <w:color w:val="595959" w:themeColor="text1" w:themeTint="A6"/>
        </w:rPr>
      </w:pPr>
    </w:p>
    <w:p w14:paraId="1345BE8D" w14:textId="77777777" w:rsidR="00785951" w:rsidRPr="00A21A76" w:rsidRDefault="00785951" w:rsidP="00785951">
      <w:pPr>
        <w:jc w:val="both"/>
        <w:rPr>
          <w:rFonts w:ascii="Arial" w:hAnsi="Arial" w:cs="Arial"/>
          <w:color w:val="595959" w:themeColor="text1" w:themeTint="A6"/>
        </w:rPr>
      </w:pPr>
      <w:r w:rsidRPr="00A21A76">
        <w:rPr>
          <w:rFonts w:ascii="Arial" w:hAnsi="Arial" w:cs="Arial"/>
          <w:color w:val="595959" w:themeColor="text1" w:themeTint="A6"/>
        </w:rPr>
        <w:t>Ihr Datenschutzbeauftragter</w:t>
      </w:r>
    </w:p>
    <w:p w14:paraId="75ABF479" w14:textId="77C4A746" w:rsidR="00785951" w:rsidRPr="00D601BA" w:rsidRDefault="004111DD" w:rsidP="00785951">
      <w:pPr>
        <w:jc w:val="both"/>
        <w:rPr>
          <w:rFonts w:ascii="Arial" w:hAnsi="Arial" w:cs="Arial"/>
          <w:color w:val="FF0000"/>
        </w:rPr>
      </w:pPr>
      <w:r>
        <w:rPr>
          <w:rFonts w:ascii="Arial" w:hAnsi="Arial" w:cs="Arial"/>
          <w:color w:val="FF0000"/>
        </w:rPr>
        <w:t>Max Mustermann</w:t>
      </w:r>
    </w:p>
    <w:p w14:paraId="36F4AC2F" w14:textId="6E4F1E1D" w:rsidR="00A21A76" w:rsidRDefault="00A21A76" w:rsidP="00A67260">
      <w:pPr>
        <w:jc w:val="both"/>
        <w:rPr>
          <w:rFonts w:ascii="Arial" w:hAnsi="Arial" w:cs="Arial"/>
          <w:color w:val="auto"/>
          <w:sz w:val="20"/>
          <w:szCs w:val="20"/>
        </w:rPr>
      </w:pPr>
    </w:p>
    <w:p w14:paraId="6C431E71" w14:textId="77777777" w:rsidR="00336942" w:rsidRDefault="00336942" w:rsidP="00A67260">
      <w:pPr>
        <w:jc w:val="both"/>
        <w:rPr>
          <w:rFonts w:ascii="Arial" w:hAnsi="Arial" w:cs="Arial"/>
          <w:color w:val="222222"/>
          <w:sz w:val="20"/>
          <w:szCs w:val="20"/>
          <w:shd w:val="clear" w:color="auto" w:fill="FFFFFF"/>
        </w:rPr>
      </w:pPr>
    </w:p>
    <w:p w14:paraId="0105A055" w14:textId="77777777" w:rsidR="00A21A76" w:rsidRDefault="00A21A76" w:rsidP="00A67260">
      <w:pPr>
        <w:jc w:val="both"/>
        <w:rPr>
          <w:rFonts w:ascii="Arial" w:hAnsi="Arial" w:cs="Arial"/>
          <w:color w:val="222222"/>
          <w:sz w:val="20"/>
          <w:szCs w:val="20"/>
          <w:shd w:val="clear" w:color="auto" w:fill="FFFFFF"/>
        </w:rPr>
      </w:pPr>
    </w:p>
    <w:p w14:paraId="0BDC6342" w14:textId="77777777" w:rsidR="00A21A76" w:rsidRDefault="00A21A76" w:rsidP="00A67260">
      <w:pPr>
        <w:jc w:val="both"/>
        <w:rPr>
          <w:rFonts w:ascii="Arial" w:hAnsi="Arial" w:cs="Arial"/>
          <w:color w:val="222222"/>
          <w:sz w:val="20"/>
          <w:szCs w:val="20"/>
          <w:shd w:val="clear" w:color="auto" w:fill="FFFFFF"/>
        </w:rPr>
      </w:pPr>
    </w:p>
    <w:p w14:paraId="4366ACB4" w14:textId="77777777" w:rsidR="00A21A76" w:rsidRDefault="00A21A76" w:rsidP="00A67260">
      <w:pPr>
        <w:jc w:val="both"/>
        <w:rPr>
          <w:rFonts w:ascii="Arial" w:hAnsi="Arial" w:cs="Arial"/>
          <w:color w:val="222222"/>
          <w:sz w:val="20"/>
          <w:szCs w:val="20"/>
          <w:shd w:val="clear" w:color="auto" w:fill="FFFFFF"/>
        </w:rPr>
      </w:pPr>
    </w:p>
    <w:p w14:paraId="01CE92B6" w14:textId="30B5A423" w:rsidR="00A21A76" w:rsidRPr="00A21A76" w:rsidRDefault="00A21A76" w:rsidP="00A67260">
      <w:pPr>
        <w:jc w:val="both"/>
        <w:rPr>
          <w:rFonts w:ascii="Arial" w:hAnsi="Arial" w:cs="Arial"/>
          <w:color w:val="auto"/>
          <w:sz w:val="20"/>
          <w:szCs w:val="20"/>
        </w:rPr>
        <w:sectPr w:rsidR="00A21A76" w:rsidRPr="00A21A76" w:rsidSect="00015AB0">
          <w:headerReference w:type="default" r:id="rId8"/>
          <w:footerReference w:type="default" r:id="rId9"/>
          <w:type w:val="continuous"/>
          <w:pgSz w:w="11906" w:h="16838" w:code="9"/>
          <w:pgMar w:top="1418" w:right="1418" w:bottom="1134" w:left="1418" w:header="737" w:footer="709" w:gutter="0"/>
          <w:paperSrc w:first="7"/>
          <w:cols w:space="708"/>
          <w:docGrid w:linePitch="360"/>
        </w:sectPr>
      </w:pPr>
    </w:p>
    <w:p w14:paraId="6CDF0C35" w14:textId="77777777" w:rsidR="00A67260" w:rsidRPr="00FB028B" w:rsidRDefault="00A67260" w:rsidP="00A67260">
      <w:pPr>
        <w:jc w:val="both"/>
        <w:rPr>
          <w:rFonts w:ascii="Arial" w:hAnsi="Arial" w:cs="Arial"/>
          <w:b/>
          <w:color w:val="595959" w:themeColor="text1" w:themeTint="A6"/>
          <w:szCs w:val="20"/>
        </w:rPr>
      </w:pPr>
      <w:r w:rsidRPr="00FB028B">
        <w:rPr>
          <w:rFonts w:ascii="Arial" w:hAnsi="Arial" w:cs="Arial"/>
          <w:b/>
          <w:color w:val="595959" w:themeColor="text1" w:themeTint="A6"/>
          <w:szCs w:val="20"/>
        </w:rPr>
        <w:t>Verpflichtungserklärung zur Wahrung der Verschwiegenheit und des Datengeheimnisses</w:t>
      </w:r>
    </w:p>
    <w:p w14:paraId="43E44105" w14:textId="77777777" w:rsidR="00A67260" w:rsidRPr="00FB028B" w:rsidRDefault="00A67260" w:rsidP="00A67260">
      <w:pPr>
        <w:jc w:val="both"/>
        <w:rPr>
          <w:rFonts w:ascii="Arial" w:hAnsi="Arial" w:cs="Arial"/>
          <w:b/>
          <w:color w:val="595959" w:themeColor="text1" w:themeTint="A6"/>
          <w:szCs w:val="20"/>
        </w:rPr>
      </w:pPr>
      <w:r w:rsidRPr="00FB028B">
        <w:rPr>
          <w:rFonts w:ascii="Arial" w:hAnsi="Arial" w:cs="Arial"/>
          <w:b/>
          <w:color w:val="595959" w:themeColor="text1" w:themeTint="A6"/>
          <w:szCs w:val="20"/>
        </w:rPr>
        <w:t>Angaben zur Person:</w:t>
      </w:r>
    </w:p>
    <w:p w14:paraId="269F3FA6" w14:textId="77777777" w:rsidR="00A67260" w:rsidRPr="00FB028B" w:rsidRDefault="00A67260" w:rsidP="00A67260">
      <w:pPr>
        <w:jc w:val="both"/>
        <w:rPr>
          <w:rFonts w:ascii="Arial" w:hAnsi="Arial" w:cs="Arial"/>
          <w:color w:val="595959" w:themeColor="text1" w:themeTint="A6"/>
          <w:szCs w:val="20"/>
        </w:rPr>
      </w:pPr>
      <w:r w:rsidRPr="00FB028B">
        <w:rPr>
          <w:rFonts w:ascii="Arial" w:hAnsi="Arial" w:cs="Arial"/>
          <w:color w:val="595959" w:themeColor="text1" w:themeTint="A6"/>
          <w:szCs w:val="20"/>
        </w:rPr>
        <w:t>Vorname: __________________________</w:t>
      </w:r>
    </w:p>
    <w:p w14:paraId="46598D2F" w14:textId="77777777" w:rsidR="00A67260" w:rsidRPr="00FB028B" w:rsidRDefault="00A67260" w:rsidP="00A67260">
      <w:pPr>
        <w:jc w:val="both"/>
        <w:rPr>
          <w:rFonts w:ascii="Arial" w:hAnsi="Arial" w:cs="Arial"/>
          <w:color w:val="595959" w:themeColor="text1" w:themeTint="A6"/>
          <w:szCs w:val="20"/>
        </w:rPr>
      </w:pPr>
      <w:r w:rsidRPr="00FB028B">
        <w:rPr>
          <w:rFonts w:ascii="Arial" w:hAnsi="Arial" w:cs="Arial"/>
          <w:color w:val="595959" w:themeColor="text1" w:themeTint="A6"/>
          <w:szCs w:val="20"/>
        </w:rPr>
        <w:t>Nachname: ________________________</w:t>
      </w:r>
    </w:p>
    <w:p w14:paraId="748A21A8" w14:textId="77777777" w:rsidR="00A67260" w:rsidRPr="00FB028B" w:rsidRDefault="00A67260" w:rsidP="00A67260">
      <w:pPr>
        <w:jc w:val="both"/>
        <w:rPr>
          <w:rFonts w:ascii="Arial" w:hAnsi="Arial" w:cs="Arial"/>
          <w:color w:val="595959" w:themeColor="text1" w:themeTint="A6"/>
          <w:szCs w:val="20"/>
        </w:rPr>
      </w:pPr>
    </w:p>
    <w:p w14:paraId="723A2536" w14:textId="77777777" w:rsidR="00A67260" w:rsidRPr="00A21A76" w:rsidRDefault="00A67260" w:rsidP="00A67260">
      <w:pPr>
        <w:jc w:val="both"/>
        <w:rPr>
          <w:rFonts w:ascii="Arial" w:hAnsi="Arial" w:cs="Arial"/>
          <w:b/>
          <w:color w:val="595959" w:themeColor="text1" w:themeTint="A6"/>
          <w:szCs w:val="20"/>
        </w:rPr>
      </w:pPr>
      <w:r w:rsidRPr="00A21A76">
        <w:rPr>
          <w:rFonts w:ascii="Arial" w:hAnsi="Arial" w:cs="Arial"/>
          <w:b/>
          <w:color w:val="595959" w:themeColor="text1" w:themeTint="A6"/>
          <w:szCs w:val="20"/>
        </w:rPr>
        <w:t>Angaben zum Verantwortlichen:</w:t>
      </w:r>
    </w:p>
    <w:p w14:paraId="3BB27A22" w14:textId="77777777" w:rsidR="00A67260" w:rsidRDefault="00A67260" w:rsidP="00EE20E1">
      <w:pPr>
        <w:jc w:val="both"/>
        <w:rPr>
          <w:rFonts w:ascii="Arial" w:hAnsi="Arial" w:cs="Arial"/>
          <w:color w:val="595959" w:themeColor="text1" w:themeTint="A6"/>
          <w:szCs w:val="20"/>
        </w:rPr>
      </w:pPr>
      <w:r w:rsidRPr="00FB028B">
        <w:rPr>
          <w:rFonts w:ascii="Arial" w:hAnsi="Arial" w:cs="Arial"/>
          <w:color w:val="595959" w:themeColor="text1" w:themeTint="A6"/>
          <w:szCs w:val="20"/>
        </w:rPr>
        <w:t xml:space="preserve">Unternehmen: </w:t>
      </w:r>
    </w:p>
    <w:p w14:paraId="3002965C" w14:textId="6DB0DB42" w:rsidR="00336942" w:rsidRPr="00D601BA" w:rsidRDefault="00401124" w:rsidP="00336942">
      <w:pPr>
        <w:jc w:val="both"/>
        <w:rPr>
          <w:rFonts w:ascii="Arial" w:hAnsi="Arial" w:cs="Arial"/>
          <w:b/>
          <w:color w:val="FF0000"/>
          <w:szCs w:val="20"/>
        </w:rPr>
      </w:pPr>
      <w:r>
        <w:rPr>
          <w:rFonts w:ascii="Arial" w:hAnsi="Arial" w:cs="Arial"/>
          <w:b/>
          <w:color w:val="FF0000"/>
          <w:szCs w:val="20"/>
        </w:rPr>
        <w:t>Muster-Unternehmen</w:t>
      </w:r>
    </w:p>
    <w:p w14:paraId="44CCD10F" w14:textId="36CB4AD5" w:rsidR="00A67260" w:rsidRPr="00336942" w:rsidRDefault="00A67260" w:rsidP="00336942">
      <w:pPr>
        <w:jc w:val="both"/>
        <w:rPr>
          <w:rFonts w:ascii="Arial" w:hAnsi="Arial" w:cs="Arial"/>
          <w:b/>
          <w:color w:val="595959" w:themeColor="text1" w:themeTint="A6"/>
          <w:szCs w:val="20"/>
        </w:rPr>
      </w:pPr>
      <w:r w:rsidRPr="00FB028B">
        <w:rPr>
          <w:rFonts w:ascii="Arial" w:hAnsi="Arial" w:cs="Arial"/>
          <w:color w:val="595959" w:themeColor="text1" w:themeTint="A6"/>
          <w:sz w:val="20"/>
          <w:szCs w:val="20"/>
        </w:rPr>
        <w:t xml:space="preserve">Ich bin heute auf die Wahrung des Datengeheimnisses nach </w:t>
      </w:r>
      <w:r w:rsidR="00EB1422">
        <w:rPr>
          <w:rFonts w:ascii="Arial" w:hAnsi="Arial" w:cs="Arial"/>
          <w:color w:val="595959" w:themeColor="text1" w:themeTint="A6"/>
          <w:sz w:val="20"/>
          <w:szCs w:val="20"/>
        </w:rPr>
        <w:t xml:space="preserve">Art. 32 Abs. 1 lit. b) 2. Var. DSGVO, </w:t>
      </w:r>
      <w:r w:rsidRPr="00FB028B">
        <w:rPr>
          <w:rFonts w:ascii="Arial" w:hAnsi="Arial" w:cs="Arial"/>
          <w:color w:val="595959" w:themeColor="text1" w:themeTint="A6"/>
          <w:sz w:val="20"/>
          <w:szCs w:val="20"/>
        </w:rPr>
        <w:t>§ 53 BDSG</w:t>
      </w:r>
      <w:r w:rsidR="00EB1422">
        <w:rPr>
          <w:rFonts w:ascii="Arial" w:hAnsi="Arial" w:cs="Arial"/>
          <w:color w:val="595959" w:themeColor="text1" w:themeTint="A6"/>
          <w:sz w:val="20"/>
          <w:szCs w:val="20"/>
        </w:rPr>
        <w:t>-</w:t>
      </w:r>
      <w:r w:rsidRPr="00FB028B">
        <w:rPr>
          <w:rFonts w:ascii="Arial" w:hAnsi="Arial" w:cs="Arial"/>
          <w:color w:val="595959" w:themeColor="text1" w:themeTint="A6"/>
          <w:sz w:val="20"/>
          <w:szCs w:val="20"/>
        </w:rPr>
        <w:t>neu und auf die Wahrung der Verschwiegenheit verpflichtet worden. Die Vorschriften der Datenschutzgrundverordnung (DSGVO) sowie des BDSG</w:t>
      </w:r>
      <w:r w:rsidR="00EB1422">
        <w:rPr>
          <w:rFonts w:ascii="Arial" w:hAnsi="Arial" w:cs="Arial"/>
          <w:color w:val="595959" w:themeColor="text1" w:themeTint="A6"/>
          <w:sz w:val="20"/>
          <w:szCs w:val="20"/>
        </w:rPr>
        <w:t>-</w:t>
      </w:r>
      <w:r w:rsidRPr="00FB028B">
        <w:rPr>
          <w:rFonts w:ascii="Arial" w:hAnsi="Arial" w:cs="Arial"/>
          <w:color w:val="595959" w:themeColor="text1" w:themeTint="A6"/>
          <w:sz w:val="20"/>
          <w:szCs w:val="20"/>
        </w:rPr>
        <w:t>neu, insbesondere über das Datengeheimnis nach § 53 BDSG</w:t>
      </w:r>
      <w:r w:rsidR="00EB1422">
        <w:rPr>
          <w:rFonts w:ascii="Arial" w:hAnsi="Arial" w:cs="Arial"/>
          <w:color w:val="595959" w:themeColor="text1" w:themeTint="A6"/>
          <w:sz w:val="20"/>
          <w:szCs w:val="20"/>
        </w:rPr>
        <w:t>-</w:t>
      </w:r>
      <w:r w:rsidRPr="00FB028B">
        <w:rPr>
          <w:rFonts w:ascii="Arial" w:hAnsi="Arial" w:cs="Arial"/>
          <w:color w:val="595959" w:themeColor="text1" w:themeTint="A6"/>
          <w:sz w:val="20"/>
          <w:szCs w:val="20"/>
        </w:rPr>
        <w:t>neu</w:t>
      </w:r>
      <w:r w:rsidR="00EB1422">
        <w:rPr>
          <w:rFonts w:ascii="Arial" w:hAnsi="Arial" w:cs="Arial"/>
          <w:color w:val="595959" w:themeColor="text1" w:themeTint="A6"/>
          <w:sz w:val="20"/>
          <w:szCs w:val="20"/>
        </w:rPr>
        <w:t>,</w:t>
      </w:r>
      <w:r w:rsidR="00EB1422" w:rsidRPr="00FB028B">
        <w:rPr>
          <w:rFonts w:ascii="Arial" w:hAnsi="Arial" w:cs="Arial"/>
          <w:color w:val="595959" w:themeColor="text1" w:themeTint="A6"/>
          <w:sz w:val="20"/>
          <w:szCs w:val="20"/>
        </w:rPr>
        <w:t xml:space="preserve"> </w:t>
      </w:r>
      <w:r w:rsidR="00EB1422">
        <w:rPr>
          <w:rFonts w:ascii="Arial" w:hAnsi="Arial" w:cs="Arial"/>
          <w:color w:val="595959" w:themeColor="text1" w:themeTint="A6"/>
          <w:sz w:val="20"/>
          <w:szCs w:val="20"/>
        </w:rPr>
        <w:t>Art. 32 Abs. 1 lit. b) 2. Var. DSGVO</w:t>
      </w:r>
      <w:r w:rsidRPr="00FB028B">
        <w:rPr>
          <w:rFonts w:ascii="Arial" w:hAnsi="Arial" w:cs="Arial"/>
          <w:color w:val="595959" w:themeColor="text1" w:themeTint="A6"/>
          <w:sz w:val="20"/>
          <w:szCs w:val="20"/>
        </w:rPr>
        <w:t>, sind mir bekannt.</w:t>
      </w:r>
    </w:p>
    <w:p w14:paraId="007CF9DB"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Danach ist es mir untersagt, personenbezogene Daten unbefugt</w:t>
      </w:r>
      <w:r w:rsidRPr="00FB028B">
        <w:rPr>
          <w:rFonts w:ascii="Arial" w:hAnsi="Arial" w:cs="Arial"/>
          <w:b/>
          <w:bCs/>
          <w:color w:val="595959" w:themeColor="text1" w:themeTint="A6"/>
          <w:sz w:val="20"/>
          <w:szCs w:val="20"/>
        </w:rPr>
        <w:t xml:space="preserve"> </w:t>
      </w:r>
      <w:r w:rsidRPr="00FB028B">
        <w:rPr>
          <w:rFonts w:ascii="Arial" w:hAnsi="Arial" w:cs="Arial"/>
          <w:color w:val="595959" w:themeColor="text1" w:themeTint="A6"/>
          <w:sz w:val="20"/>
          <w:szCs w:val="20"/>
        </w:rPr>
        <w:t>zu erheben, zu verarbeiten oder zu nutzen (Datengeheimnis). Das Erheben, Verarbeiten und Nutzen personenbezogener Daten ist nach dem BDSG nur zulässig, soweit dies zum jeweiligen Zweck der rechtmäßigen Aufgabenerfüllung erfolgt und notwendig ist.</w:t>
      </w:r>
    </w:p>
    <w:p w14:paraId="5589EC06"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Zum Schutz der Daten habe ich im Rahmen der mir zugewiesenen Aufgabe die notwendige Sorgfalt anzuwenden.</w:t>
      </w:r>
    </w:p>
    <w:p w14:paraId="27307521"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Insbesondere habe ich die jeweiligen Datensicherungsvorschriften des Arbeitgebers zu beachten. Ich werde von mir festgestellte Mängel im Sicherungssystem des Arbeitgebers unverzüglich mitteilen.</w:t>
      </w:r>
    </w:p>
    <w:p w14:paraId="090A34DB" w14:textId="77777777" w:rsidR="00A67260" w:rsidRPr="00FB028B" w:rsidRDefault="00A67260" w:rsidP="00A67260">
      <w:pPr>
        <w:jc w:val="both"/>
        <w:rPr>
          <w:rFonts w:ascii="Arial" w:hAnsi="Arial" w:cs="Arial"/>
          <w:color w:val="595959" w:themeColor="text1" w:themeTint="A6"/>
          <w:sz w:val="20"/>
        </w:rPr>
      </w:pPr>
      <w:r w:rsidRPr="00FB028B">
        <w:rPr>
          <w:rFonts w:ascii="Arial" w:hAnsi="Arial" w:cs="Arial"/>
          <w:color w:val="595959" w:themeColor="text1" w:themeTint="A6"/>
          <w:sz w:val="20"/>
          <w:szCs w:val="20"/>
        </w:rPr>
        <w:t xml:space="preserve">Ich bin darüber belehrt worden, dass sich die Verschwiegenheitsverpflichtung auf alles erstreckt, was mir in Ausübung meiner beruflichen Tätigkeit oder im Zusammenhang </w:t>
      </w:r>
      <w:r w:rsidRPr="00FB028B">
        <w:rPr>
          <w:rFonts w:ascii="Arial" w:hAnsi="Arial" w:cs="Arial"/>
          <w:color w:val="595959" w:themeColor="text1" w:themeTint="A6"/>
          <w:sz w:val="20"/>
          <w:szCs w:val="20"/>
        </w:rPr>
        <w:t xml:space="preserve">hiermit anvertraut oder bekannt geworden ist oder anvertraut oder bekannt wird. </w:t>
      </w:r>
      <w:r w:rsidRPr="00FB028B">
        <w:rPr>
          <w:rFonts w:ascii="Arial" w:hAnsi="Arial" w:cs="Arial"/>
          <w:color w:val="595959" w:themeColor="text1" w:themeTint="A6"/>
          <w:sz w:val="20"/>
        </w:rPr>
        <w:t>Es ist mir bekannt, dass es neben der Pflicht zur Wahrung des Datengeheimnisses und zur Wahrung der Verschwiegenheit weitere Geheimhaltungs-verpflichtungen (z. B. Wahrung des Betriebs- und Geschäftsgeheimnisses, Wahrung des Privatgeheimnisses § 203 StGB) gibt, die durch diese Verpflichtungserklärung nicht beeinträchtigt werden.</w:t>
      </w:r>
    </w:p>
    <w:p w14:paraId="679A5C12" w14:textId="77777777" w:rsidR="00A67260" w:rsidRPr="00FB028B" w:rsidRDefault="00A67260" w:rsidP="00A67260">
      <w:pPr>
        <w:jc w:val="both"/>
        <w:rPr>
          <w:rFonts w:ascii="Arial" w:hAnsi="Arial" w:cs="Arial"/>
          <w:vanish/>
          <w:color w:val="595959" w:themeColor="text1" w:themeTint="A6"/>
          <w:sz w:val="20"/>
        </w:rPr>
      </w:pPr>
    </w:p>
    <w:p w14:paraId="27CB0651" w14:textId="77777777" w:rsidR="00A67260" w:rsidRPr="00FB028B" w:rsidRDefault="00A67260" w:rsidP="00A67260">
      <w:pPr>
        <w:jc w:val="both"/>
        <w:rPr>
          <w:rFonts w:ascii="Arial" w:hAnsi="Arial" w:cs="Arial"/>
          <w:color w:val="595959" w:themeColor="text1" w:themeTint="A6"/>
          <w:sz w:val="20"/>
        </w:rPr>
      </w:pPr>
      <w:r w:rsidRPr="00FB028B">
        <w:rPr>
          <w:rFonts w:ascii="Arial" w:hAnsi="Arial" w:cs="Arial"/>
          <w:color w:val="595959" w:themeColor="text1" w:themeTint="A6"/>
          <w:sz w:val="20"/>
        </w:rPr>
        <w:t>Es ist mir bekannt, dass jeder Verstoß gegen diese Verpflichtungserklärung sowie jeder Verstoß gegen das Bundesdatenschutzgesetz oder gegen andere Datenschutzvorschriften zu Schadenersatzford</w:t>
      </w:r>
      <w:bookmarkStart w:id="0" w:name="_GoBack"/>
      <w:bookmarkEnd w:id="0"/>
      <w:r w:rsidRPr="00FB028B">
        <w:rPr>
          <w:rFonts w:ascii="Arial" w:hAnsi="Arial" w:cs="Arial"/>
          <w:color w:val="595959" w:themeColor="text1" w:themeTint="A6"/>
          <w:sz w:val="20"/>
        </w:rPr>
        <w:t>erungen führen und mit Bußgeld bzw. Geld- oder Freiheitsstrafen geahndet werden können (Art. 83 DSGVO).</w:t>
      </w:r>
    </w:p>
    <w:p w14:paraId="32BE1ADB" w14:textId="77777777" w:rsidR="00A67260" w:rsidRPr="00FB028B" w:rsidRDefault="00A67260" w:rsidP="00A67260">
      <w:pPr>
        <w:jc w:val="both"/>
        <w:rPr>
          <w:rFonts w:ascii="Arial" w:hAnsi="Arial" w:cs="Arial"/>
          <w:color w:val="595959" w:themeColor="text1" w:themeTint="A6"/>
          <w:sz w:val="20"/>
        </w:rPr>
      </w:pPr>
      <w:r w:rsidRPr="00FB028B">
        <w:rPr>
          <w:rFonts w:ascii="Arial" w:hAnsi="Arial" w:cs="Arial"/>
          <w:color w:val="595959" w:themeColor="text1" w:themeTint="A6"/>
          <w:sz w:val="20"/>
        </w:rPr>
        <w:t>Ich bestätige, eine von dem Arbeitgeber und mir unterzeichnete Ausfertigung dieser Verpflichtungserklärung erhalten zu haben.</w:t>
      </w:r>
    </w:p>
    <w:p w14:paraId="42191DB3" w14:textId="77777777" w:rsidR="00A67260" w:rsidRPr="00FB028B" w:rsidRDefault="00A67260" w:rsidP="00A67260">
      <w:pPr>
        <w:jc w:val="both"/>
        <w:rPr>
          <w:rFonts w:ascii="Arial" w:eastAsia="Arial Unicode MS" w:hAnsi="Arial" w:cs="Arial"/>
          <w:color w:val="595959" w:themeColor="text1" w:themeTint="A6"/>
          <w:sz w:val="20"/>
        </w:rPr>
      </w:pPr>
      <w:r w:rsidRPr="00FB028B">
        <w:rPr>
          <w:rFonts w:ascii="Arial" w:eastAsia="Arial Unicode MS" w:hAnsi="Arial" w:cs="Arial"/>
          <w:color w:val="595959" w:themeColor="text1" w:themeTint="A6"/>
          <w:sz w:val="20"/>
        </w:rPr>
        <w:t>_____________________________________</w:t>
      </w:r>
    </w:p>
    <w:p w14:paraId="58952335" w14:textId="77777777" w:rsidR="00A67260" w:rsidRDefault="00A67260" w:rsidP="00A67260">
      <w:pPr>
        <w:jc w:val="both"/>
        <w:rPr>
          <w:rFonts w:ascii="Arial" w:eastAsia="Arial Unicode MS" w:hAnsi="Arial" w:cs="Arial"/>
          <w:color w:val="595959" w:themeColor="text1" w:themeTint="A6"/>
          <w:sz w:val="20"/>
        </w:rPr>
      </w:pPr>
      <w:r w:rsidRPr="00FB028B">
        <w:rPr>
          <w:rFonts w:ascii="Arial" w:eastAsia="Arial Unicode MS" w:hAnsi="Arial" w:cs="Arial"/>
          <w:color w:val="595959" w:themeColor="text1" w:themeTint="A6"/>
          <w:sz w:val="20"/>
        </w:rPr>
        <w:t>(Ort, Datum)</w:t>
      </w:r>
    </w:p>
    <w:p w14:paraId="6C749785" w14:textId="77777777" w:rsidR="00EE20E1" w:rsidRDefault="00EE20E1" w:rsidP="00A67260">
      <w:pPr>
        <w:jc w:val="both"/>
        <w:rPr>
          <w:rFonts w:ascii="Arial" w:eastAsia="Arial Unicode MS" w:hAnsi="Arial" w:cs="Arial"/>
          <w:color w:val="595959" w:themeColor="text1" w:themeTint="A6"/>
          <w:sz w:val="20"/>
        </w:rPr>
      </w:pPr>
      <w:r>
        <w:rPr>
          <w:rFonts w:ascii="Arial" w:eastAsia="Arial Unicode MS" w:hAnsi="Arial" w:cs="Arial"/>
          <w:color w:val="595959" w:themeColor="text1" w:themeTint="A6"/>
          <w:sz w:val="20"/>
        </w:rPr>
        <w:t>_____________________________________</w:t>
      </w:r>
    </w:p>
    <w:p w14:paraId="20ACBD20" w14:textId="1EEC6B8A" w:rsidR="00EB1422" w:rsidRPr="00FB028B" w:rsidRDefault="00EE20E1" w:rsidP="00A67260">
      <w:pPr>
        <w:jc w:val="both"/>
        <w:rPr>
          <w:rFonts w:ascii="Arial" w:eastAsia="Arial Unicode MS" w:hAnsi="Arial" w:cs="Arial"/>
          <w:color w:val="595959" w:themeColor="text1" w:themeTint="A6"/>
          <w:sz w:val="20"/>
        </w:rPr>
      </w:pPr>
      <w:r>
        <w:rPr>
          <w:rFonts w:ascii="Arial" w:eastAsia="Arial Unicode MS" w:hAnsi="Arial" w:cs="Arial"/>
          <w:color w:val="595959" w:themeColor="text1" w:themeTint="A6"/>
          <w:sz w:val="20"/>
        </w:rPr>
        <w:t>Unterschrift</w:t>
      </w:r>
    </w:p>
    <w:p w14:paraId="3BECB673" w14:textId="3BF6561E" w:rsidR="00A67260" w:rsidRPr="00FB028B" w:rsidRDefault="00A67260" w:rsidP="00A67260">
      <w:pPr>
        <w:jc w:val="both"/>
        <w:rPr>
          <w:rFonts w:ascii="Arial" w:hAnsi="Arial" w:cs="Arial"/>
          <w:b/>
          <w:color w:val="595959" w:themeColor="text1" w:themeTint="A6"/>
          <w:szCs w:val="20"/>
        </w:rPr>
      </w:pPr>
      <w:r w:rsidRPr="00FB028B">
        <w:rPr>
          <w:rFonts w:ascii="Arial" w:hAnsi="Arial" w:cs="Arial"/>
          <w:b/>
          <w:color w:val="595959" w:themeColor="text1" w:themeTint="A6"/>
          <w:szCs w:val="20"/>
        </w:rPr>
        <w:t>Bundesdatenschutzgesetz (BDSG</w:t>
      </w:r>
      <w:r w:rsidR="00356F40">
        <w:rPr>
          <w:rFonts w:ascii="Arial" w:hAnsi="Arial" w:cs="Arial"/>
          <w:b/>
          <w:color w:val="595959" w:themeColor="text1" w:themeTint="A6"/>
          <w:szCs w:val="20"/>
        </w:rPr>
        <w:t>-neu</w:t>
      </w:r>
      <w:r w:rsidRPr="00FB028B">
        <w:rPr>
          <w:rFonts w:ascii="Arial" w:hAnsi="Arial" w:cs="Arial"/>
          <w:b/>
          <w:color w:val="595959" w:themeColor="text1" w:themeTint="A6"/>
          <w:szCs w:val="20"/>
        </w:rPr>
        <w:t>)</w:t>
      </w:r>
    </w:p>
    <w:p w14:paraId="03202010" w14:textId="77777777" w:rsidR="00A67260" w:rsidRPr="00FB028B" w:rsidRDefault="00A67260" w:rsidP="00A67260">
      <w:pPr>
        <w:jc w:val="both"/>
        <w:rPr>
          <w:rFonts w:ascii="Arial" w:hAnsi="Arial" w:cs="Arial"/>
          <w:b/>
          <w:color w:val="595959" w:themeColor="text1" w:themeTint="A6"/>
          <w:sz w:val="20"/>
          <w:szCs w:val="20"/>
        </w:rPr>
      </w:pPr>
      <w:r w:rsidRPr="00FB028B">
        <w:rPr>
          <w:rFonts w:ascii="Arial" w:hAnsi="Arial" w:cs="Arial"/>
          <w:b/>
          <w:color w:val="595959" w:themeColor="text1" w:themeTint="A6"/>
          <w:sz w:val="20"/>
          <w:szCs w:val="20"/>
        </w:rPr>
        <w:t>§1</w:t>
      </w:r>
    </w:p>
    <w:p w14:paraId="027AC7D4"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Dieses Gesetz gilt für die Verarbeitung personenbezogener Daten durch</w:t>
      </w:r>
    </w:p>
    <w:p w14:paraId="3B50C478"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öffentliche Stellen des Bundes,</w:t>
      </w:r>
    </w:p>
    <w:p w14:paraId="248DFFC4"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öffentliche Stellen der Länder, soweit der Datenschutz nicht durch Landesgesetz geregelt ist und soweit sie Bundesrecht ausführen oder als Organe der Rechtspflege tätig werden und es sich nicht um Verwaltungsangelegenheiten handelt.</w:t>
      </w:r>
    </w:p>
    <w:p w14:paraId="7699BBAC"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 xml:space="preserve">3. Für nichtöffentliche Stellen gilt dieses Gesetz für die ganz oder teilweise automatisierte Verarbeitung personenbezogener Daten sowie die nichtautomatisierte Verarbeitung personenbezogener Daten, die in einem Dateisystem gespeichert sind oder gespeichert werden sollen, es sei denn, die Verarbeitung </w:t>
      </w:r>
      <w:r w:rsidRPr="00FB028B">
        <w:rPr>
          <w:rFonts w:ascii="Arial" w:hAnsi="Arial" w:cs="Arial"/>
          <w:color w:val="595959" w:themeColor="text1" w:themeTint="A6"/>
          <w:sz w:val="20"/>
          <w:szCs w:val="20"/>
        </w:rPr>
        <w:lastRenderedPageBreak/>
        <w:t>durch natürliche Personen erfolgt zur Ausübung ausschließlich persönlicher oder familiärer Tätigkeiten.</w:t>
      </w:r>
    </w:p>
    <w:p w14:paraId="02C19B8A" w14:textId="318E106D"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Andere Rechtsvorschriften des Bundes über den Datenschutz gehen den Vorschriften dieses Gesetzes vor. Regeln sie einen Sachverhalt, für den dieses Gesetz gilt, nicht oder nicht abschließend, finden die Vorschriften dieses Gesetzes Anwendung. Die Verpflichtung zur Wahrung gesetzlicher Geheimhaltungspflichten oder von Berufs- oder besonderen Amtsgeheimnissen, die nicht auf gesetzlichen Vorschriften beruhen, bleibt unberührt.</w:t>
      </w:r>
    </w:p>
    <w:p w14:paraId="5878BFE5"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(3) Die Vorschriften dieses Gesetzes gehen denen des Verwaltungsverfahrensgesetzes vor, soweit bei der Ermittlung des Sachverhalts personenbezogene Daten verarbeitet werden.</w:t>
      </w:r>
    </w:p>
    <w:p w14:paraId="2B6687F7" w14:textId="5ED1CC0E"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(4) Dieses Gesetz findet Anwendung auf öffentliche Stellen. Auf nichtöffentliche Stellen findet es Anwendung, sofern</w:t>
      </w:r>
    </w:p>
    <w:p w14:paraId="177ADC0F"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der Verantwortliche oder Auftragsverarbeiter personenbezogene Daten im Inland verarbeitet,</w:t>
      </w:r>
    </w:p>
    <w:p w14:paraId="5F58F04F"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die Verarbeitung personenbezogener Daten im Rahmen der Tätigkeiten einer inländischen Niederlassung des Verantwortlichen oder Auftragsverarbeiters erfolgt oder</w:t>
      </w:r>
    </w:p>
    <w:p w14:paraId="7207DDC3"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der Verantwortliche oder Auftragsverarbeiter zwar keine Niederlassung in einem Mitgliedstaat der Europäischen Union oder in einem anderen Vertragsstaat des Abkommens über den Europäischen Wirtschaftsraum hat, er aber in den Anwendungsbereich der Verordnung (EU) 2016/679 des Europäischen Parlaments und des Rates vom 27. April 2016 zum Schutz natürlicher Personen bei der Verarbeitung personenbezogener Daten, zum freien Datenverkehr und zur Aufhebung der Richtlinie 95/46/EG (Datenschutz-Grundverordnung) (</w:t>
      </w:r>
      <w:proofErr w:type="spellStart"/>
      <w:r w:rsidRPr="00FB028B">
        <w:rPr>
          <w:rFonts w:ascii="Arial" w:hAnsi="Arial" w:cs="Arial"/>
          <w:color w:val="595959" w:themeColor="text1" w:themeTint="A6"/>
          <w:sz w:val="20"/>
          <w:szCs w:val="20"/>
        </w:rPr>
        <w:t>ABl.</w:t>
      </w:r>
      <w:proofErr w:type="spellEnd"/>
      <w:r w:rsidRPr="00FB028B">
        <w:rPr>
          <w:rFonts w:ascii="Arial" w:hAnsi="Arial" w:cs="Arial"/>
          <w:color w:val="595959" w:themeColor="text1" w:themeTint="A6"/>
          <w:sz w:val="20"/>
          <w:szCs w:val="20"/>
        </w:rPr>
        <w:t xml:space="preserve"> L 119 vom 4.5.2016, S. 1; L 314 vom 22.11.2016, S. 72) fällt.</w:t>
      </w:r>
    </w:p>
    <w:p w14:paraId="32D38497"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Sofern dieses Gesetz nicht gemäß Satz 2 Anwendung findet, gelten für den Verantwortlichen oder Auftragsverarbeiter nur die §§ 8 bis 21, 39 bis 44.</w:t>
      </w:r>
    </w:p>
    <w:p w14:paraId="77926D58"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 xml:space="preserve">(5) Die Vorschriften dieses Gesetzes finden keine Anwendung, soweit das Recht der Europäischen Union, im Besonderen die </w:t>
      </w:r>
      <w:r w:rsidRPr="00FB028B">
        <w:rPr>
          <w:rFonts w:ascii="Arial" w:hAnsi="Arial" w:cs="Arial"/>
          <w:color w:val="595959" w:themeColor="text1" w:themeTint="A6"/>
          <w:sz w:val="20"/>
          <w:szCs w:val="20"/>
        </w:rPr>
        <w:t>Verordnung (EU) 2016/679 in der jeweils geltenden Fassung, unmittelbar gilt.</w:t>
      </w:r>
    </w:p>
    <w:p w14:paraId="4779B6AA" w14:textId="3218E92F"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(6) Bei Verarbeitungen zu Zwecken gemäß Artikel 2 der Verordnung (EU) 2016/679 stehen die Vertragsstaaten des Abkommens über den Europäischen Wirtschaftsraum und die Schweiz den Mitgliedstaaten der Europäischen Union gleich. Andere Staaten gelten insoweit als Drittstaaten.</w:t>
      </w:r>
    </w:p>
    <w:p w14:paraId="23616E9A"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(7) Bei Verarbeitungen zu Zwecken gemäß Artikel 1 Absatz 1 der Richtlinie (EU) 2016/680 des Europäischen Parlaments und des Rates vom 27. April 2016 zum Schutz natürlicher Personen bei der Verarbeitung personenbezogener Daten durch die zuständigen Behörden zum Zweck der Verhütung, Ermittlung, Aufdeckung oder Verfolgung von Straftaten oder der Strafvollstreckung sowie zum freien Datenverkehr und zur Aufhebung des Rahmenbeschlusses 2008/977/JI des Rates (</w:t>
      </w:r>
      <w:proofErr w:type="spellStart"/>
      <w:r w:rsidRPr="00FB028B">
        <w:rPr>
          <w:rFonts w:ascii="Arial" w:hAnsi="Arial" w:cs="Arial"/>
          <w:color w:val="595959" w:themeColor="text1" w:themeTint="A6"/>
          <w:sz w:val="20"/>
          <w:szCs w:val="20"/>
        </w:rPr>
        <w:t>ABl.</w:t>
      </w:r>
      <w:proofErr w:type="spellEnd"/>
      <w:r w:rsidRPr="00FB028B">
        <w:rPr>
          <w:rFonts w:ascii="Arial" w:hAnsi="Arial" w:cs="Arial"/>
          <w:color w:val="595959" w:themeColor="text1" w:themeTint="A6"/>
          <w:sz w:val="20"/>
          <w:szCs w:val="20"/>
        </w:rPr>
        <w:t xml:space="preserve"> L 119 vom 4.5.2016, S. 89) stehen die bei der Umsetzung, Anwendung und Entwicklung des Schengen-Besitzstands assoziierten Staaten den Mitgliedstaaten der Europäischen Union gleich. 2Andere Staaten gelten insoweit als Drittstaaten.</w:t>
      </w:r>
    </w:p>
    <w:p w14:paraId="6F539CC5" w14:textId="75B222C8" w:rsidR="00EB1422"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(8) Für Verarbeitungen personenbezogener Daten durch öffentliche Stellen im Rahmen von nicht in die Anwendungsbereiche der Verordnung (EU) 2016/679 und der Richtlinie (EU) 2016/680 fallenden Tätigkeiten finden die Verordnung (EU) 2016/679 und die Teile 1 und 2 dieses Gesetzes entsprechend Anwendung, soweit nicht in diesem Gesetz oder einem anderen Gesetz Abweichendes geregelt ist.</w:t>
      </w:r>
    </w:p>
    <w:p w14:paraId="1D35D4BD" w14:textId="352F2077" w:rsidR="00EB1422" w:rsidRPr="00FB028B" w:rsidRDefault="00A67260" w:rsidP="00A67260">
      <w:pPr>
        <w:jc w:val="both"/>
        <w:rPr>
          <w:rFonts w:ascii="Arial" w:hAnsi="Arial" w:cs="Arial"/>
          <w:b/>
          <w:color w:val="595959" w:themeColor="text1" w:themeTint="A6"/>
          <w:sz w:val="20"/>
          <w:szCs w:val="20"/>
        </w:rPr>
      </w:pPr>
      <w:r w:rsidRPr="00FB028B">
        <w:rPr>
          <w:rFonts w:ascii="Arial" w:hAnsi="Arial" w:cs="Arial"/>
          <w:b/>
          <w:color w:val="595959" w:themeColor="text1" w:themeTint="A6"/>
          <w:sz w:val="20"/>
          <w:szCs w:val="20"/>
        </w:rPr>
        <w:t>§42</w:t>
      </w:r>
    </w:p>
    <w:p w14:paraId="7102738D"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Mit Freiheitsstrafe bis zu drei Jahren oder mit Geldstrafe wird bestraft, wer wissentlich nicht allgemein zugängliche personenbezogene Daten einer großen Zahl von Personen, ohne hierzu berechtigt zu sein,</w:t>
      </w:r>
    </w:p>
    <w:p w14:paraId="0617D4B9"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einem Dritten übermittelt oder</w:t>
      </w:r>
    </w:p>
    <w:p w14:paraId="5B487148"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auf andere Art und Weise zugänglich macht</w:t>
      </w:r>
    </w:p>
    <w:p w14:paraId="052EBA37" w14:textId="1DE02EB2" w:rsidR="00A67260"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und hierbei gewerbsmäßig handelt.</w:t>
      </w:r>
    </w:p>
    <w:p w14:paraId="3C6C33BD" w14:textId="77777777" w:rsidR="00EB1422" w:rsidRPr="00FB028B" w:rsidRDefault="00EB1422" w:rsidP="00A67260">
      <w:pPr>
        <w:jc w:val="both"/>
        <w:rPr>
          <w:rFonts w:ascii="Arial" w:hAnsi="Arial" w:cs="Arial"/>
          <w:color w:val="595959" w:themeColor="text1" w:themeTint="A6"/>
          <w:sz w:val="20"/>
          <w:szCs w:val="20"/>
        </w:rPr>
      </w:pPr>
    </w:p>
    <w:p w14:paraId="6CAA8866"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 xml:space="preserve">(2) Mit Freiheitsstrafe bis zu zwei Jahren oder mit Geldstrafe wird bestraft, wer </w:t>
      </w:r>
      <w:r w:rsidRPr="00FB028B">
        <w:rPr>
          <w:rFonts w:ascii="Arial" w:hAnsi="Arial" w:cs="Arial"/>
          <w:color w:val="595959" w:themeColor="text1" w:themeTint="A6"/>
          <w:sz w:val="20"/>
          <w:szCs w:val="20"/>
        </w:rPr>
        <w:lastRenderedPageBreak/>
        <w:t>personenbezogene Daten, die nicht allgemein zugänglich sind,</w:t>
      </w:r>
    </w:p>
    <w:p w14:paraId="653FA8A3"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ohne hierzu berechtigt zu sein, verarbeitet oder</w:t>
      </w:r>
    </w:p>
    <w:p w14:paraId="56357185"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durch unrichtige Angaben erschleicht und hierbei gegen Entgelt oder in der Absicht handelt, sich oder einen anderen zu bereichern oder einen anderen zu schädigen.</w:t>
      </w:r>
    </w:p>
    <w:p w14:paraId="5B50E244"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(3) Die Tat wird nur auf Antrag verfolgt. Antragsberechtigt sind die betroffene Person, der Verantwortliche, die oder der Bundesbeauftragte und die Aufsichtsbehörde.</w:t>
      </w:r>
    </w:p>
    <w:p w14:paraId="49053A92"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(4) Eine Meldung nach Artikel 33 der Verordnung (EU) 2016/679 oder eine Benachrichtigung nach Artikel 34 Absatz 1 der Verordnung (EU) 2016/679 darf in einem Strafverfahren gegen den Meldepflichtigen oder Benachrichtigenden oder seine in § 52 Absatz 1 der Strafprozessordnung bezeichneten Angehörigen nur mit Zustimmung des Meldepflichtigen oder Benachrichtigenden verwendet werden.</w:t>
      </w:r>
    </w:p>
    <w:p w14:paraId="68A4D425" w14:textId="77777777" w:rsidR="00A67260" w:rsidRPr="00FB028B" w:rsidRDefault="00A67260" w:rsidP="00A67260">
      <w:pPr>
        <w:jc w:val="both"/>
        <w:rPr>
          <w:rFonts w:ascii="Arial" w:hAnsi="Arial" w:cs="Arial"/>
          <w:b/>
          <w:color w:val="595959" w:themeColor="text1" w:themeTint="A6"/>
          <w:sz w:val="20"/>
          <w:szCs w:val="20"/>
        </w:rPr>
      </w:pPr>
      <w:r w:rsidRPr="00FB028B">
        <w:rPr>
          <w:rFonts w:ascii="Arial" w:hAnsi="Arial" w:cs="Arial"/>
          <w:b/>
          <w:color w:val="595959" w:themeColor="text1" w:themeTint="A6"/>
          <w:sz w:val="20"/>
          <w:szCs w:val="20"/>
        </w:rPr>
        <w:t>§ 43</w:t>
      </w:r>
    </w:p>
    <w:p w14:paraId="166B78DE"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Ordnungswidrig handelt, wer vorsätzlich oder fahrlässig</w:t>
      </w:r>
    </w:p>
    <w:p w14:paraId="3408A5EE"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entgegen § 30 Absatz 1 ein Auskunftsverlangen nicht richtig behandelt oder</w:t>
      </w:r>
    </w:p>
    <w:p w14:paraId="4AD267AA"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entgegen § 30 Absatz 2 Satz 1 einen Verbraucher nicht, nicht richtig, nicht vollständig oder nicht rechtzeitig unterrichtet.</w:t>
      </w:r>
    </w:p>
    <w:p w14:paraId="04DFB430"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Die Ordnungswidrigkeit kann mit einer Geldbuße bis zu fünfzigtausend Euro geahndet werden.</w:t>
      </w:r>
    </w:p>
    <w:p w14:paraId="1510373C"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Gegen Behörden und sonstige öffentliche Stellen im Sinne des § 2 Absatz 1 werden keine Geldbußen verhängt.</w:t>
      </w:r>
    </w:p>
    <w:p w14:paraId="2A23A934"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Eine Meldung nach Artikel 33 der Verordnung (EU) 2016/679 oder eine Benachrichtigung nach Artikel 34 Absatz 1 der Verordnung (EU) 2016/679 darf in einem Verfahren nach dem Gesetz über Ordnungswidrigkeiten gegen den Meldepflichtigen oder Benachrichtigenden oder seine in § 52 Absatz 1 der Strafprozessordnung bezeichneten Angehörigen nur mit Zustimmung des Meldepflichtigen oder Benachrichtigenden verwendet werden.</w:t>
      </w:r>
    </w:p>
    <w:p w14:paraId="351EF068"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Ordnungswidrig handelt, wer vorsätzlich oder fahrlässig</w:t>
      </w:r>
    </w:p>
    <w:p w14:paraId="7EF98850"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1. unbefugt personenbezogene Daten, die nicht allgemein zugänglich sind, erhebt oder verarbeitet,</w:t>
      </w:r>
    </w:p>
    <w:p w14:paraId="45EF70A7"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2. unbefugt personenbezogene Daten, die nicht allgemein zugänglich sind, zum Abruf mittels automatisierten Verfahrens bereithält,</w:t>
      </w:r>
    </w:p>
    <w:p w14:paraId="0DC19FCC"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3. unbefugt personenbezogene Daten, die nicht allgemein zugänglich sind, abruft oder sich oder einem anderen aus automatisierten Verarbeitungen oder nicht automatisierten Dateien verschafft,</w:t>
      </w:r>
    </w:p>
    <w:p w14:paraId="581C0284" w14:textId="3ED5A2DC"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4. die Übermittlung von personenbezogenen Daten, die nicht allgemein zugänglich sind, durch unrichtige Angaben erschleicht,</w:t>
      </w:r>
    </w:p>
    <w:p w14:paraId="45995EA4"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5. entgegen § 16 Abs. 4 Satz 1, § 28 Abs. 5 Satz 1, auch in Verbindung mit § 29 Abs. 4, § 39 Abs. 1 Satz 1 oder § 40 Abs. 1, die übermittelten Daten für andere Zwecke nutzt,</w:t>
      </w:r>
    </w:p>
    <w:p w14:paraId="27D08781"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5a. entgegen § 28 Absatz 3b den Abschluss eines Vertrages von der Einwilligung des Betroffenen abhängig macht,</w:t>
      </w:r>
    </w:p>
    <w:p w14:paraId="05EB361C"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5b. entgegen § 28 Absatz 4 Satz 1 Daten für Zwecke der Werbung oder der Markt- oder Meinungsforschung verarbeitet oder nutzt,</w:t>
      </w:r>
    </w:p>
    <w:p w14:paraId="2B878646"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6. entgegen § 30 Absatz 1 Satz 2, § 30a Absatz 3 Satz 3 oder § 40 Absatz 2 Satz 3 ein dort genanntes Merkmal mit einer Einzelangabe zusammenführt oder</w:t>
      </w:r>
    </w:p>
    <w:p w14:paraId="0936E474"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7. entgegen § 42a Satz 1 eine Mitteilung nicht, nicht richtig, nicht vollständig oder nicht rechtzeitig macht.</w:t>
      </w:r>
    </w:p>
    <w:p w14:paraId="19E6F263" w14:textId="77777777" w:rsidR="00A67260" w:rsidRPr="00FB028B"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(3) Die Ordnungswidrigkeit kann im Fall des Absatzes 1 mit einer Geldbuße bis zu fünfzigtausend Euro, in den Fällen des Absatzes 2 mit einer Geldbuße bis zu dreihunderttausend Euro geahndet werden. Die Geldbuße soll den wirtschaftlichen Vorteil, den der Täter aus der Ordnungswidrigkeit gezogen hat, übersteigen. Reichen die in Satz 1 genannten Beträge hierfür nicht aus, so können sie überschritten werden.</w:t>
      </w:r>
    </w:p>
    <w:p w14:paraId="4BED74F0" w14:textId="77777777" w:rsidR="00A67260" w:rsidRPr="00FB028B" w:rsidRDefault="00A67260" w:rsidP="00A67260">
      <w:pPr>
        <w:jc w:val="both"/>
        <w:rPr>
          <w:rFonts w:ascii="Arial" w:hAnsi="Arial" w:cs="Arial"/>
          <w:b/>
          <w:color w:val="595959" w:themeColor="text1" w:themeTint="A6"/>
          <w:sz w:val="20"/>
          <w:szCs w:val="20"/>
        </w:rPr>
      </w:pPr>
      <w:r w:rsidRPr="00FB028B">
        <w:rPr>
          <w:rFonts w:ascii="Arial" w:hAnsi="Arial" w:cs="Arial"/>
          <w:b/>
          <w:color w:val="595959" w:themeColor="text1" w:themeTint="A6"/>
          <w:sz w:val="20"/>
          <w:szCs w:val="20"/>
        </w:rPr>
        <w:t>§ 53</w:t>
      </w:r>
    </w:p>
    <w:p w14:paraId="6FAC0522" w14:textId="23AAAFBF" w:rsidR="00A67260" w:rsidRDefault="00A67260" w:rsidP="00A67260">
      <w:pPr>
        <w:jc w:val="both"/>
        <w:rPr>
          <w:rFonts w:ascii="Arial" w:hAnsi="Arial" w:cs="Arial"/>
          <w:color w:val="595959" w:themeColor="text1" w:themeTint="A6"/>
          <w:sz w:val="20"/>
          <w:szCs w:val="20"/>
        </w:rPr>
      </w:pPr>
      <w:r w:rsidRPr="00FB028B">
        <w:rPr>
          <w:rFonts w:ascii="Arial" w:hAnsi="Arial" w:cs="Arial"/>
          <w:color w:val="595959" w:themeColor="text1" w:themeTint="A6"/>
          <w:sz w:val="20"/>
          <w:szCs w:val="20"/>
        </w:rPr>
        <w:t xml:space="preserve">Mit Datenverarbeitung befasste Personen dürfen personenbezogene Daten nicht </w:t>
      </w:r>
      <w:r w:rsidRPr="00FB028B">
        <w:rPr>
          <w:rFonts w:ascii="Arial" w:hAnsi="Arial" w:cs="Arial"/>
          <w:color w:val="595959" w:themeColor="text1" w:themeTint="A6"/>
          <w:sz w:val="20"/>
          <w:szCs w:val="20"/>
        </w:rPr>
        <w:lastRenderedPageBreak/>
        <w:t xml:space="preserve">unbefugt verarbeiten (Datengeheimnis). Sie sind bei der Aufnahme ihrer Tätigkeit auf das Datengeheimnis zu verpflichten. Das </w:t>
      </w:r>
      <w:r w:rsidRPr="00356F40">
        <w:rPr>
          <w:rFonts w:ascii="Arial" w:hAnsi="Arial" w:cs="Arial"/>
          <w:color w:val="595959" w:themeColor="text1" w:themeTint="A6"/>
          <w:sz w:val="20"/>
          <w:szCs w:val="20"/>
        </w:rPr>
        <w:t>Datengeheimnis besteht auch nach der Beendigung ihrer Tätigkeit fort.</w:t>
      </w:r>
    </w:p>
    <w:p w14:paraId="180D8271" w14:textId="77777777" w:rsidR="00FC6E8D" w:rsidRPr="00FC6E8D" w:rsidRDefault="00FC6E8D" w:rsidP="00FC6E8D">
      <w:pPr>
        <w:jc w:val="both"/>
        <w:rPr>
          <w:rFonts w:ascii="Arial" w:hAnsi="Arial" w:cs="Arial"/>
          <w:b/>
          <w:bCs/>
          <w:color w:val="595959" w:themeColor="text1" w:themeTint="A6"/>
          <w:sz w:val="20"/>
          <w:szCs w:val="20"/>
        </w:rPr>
      </w:pPr>
      <w:r w:rsidRPr="00FC6E8D">
        <w:rPr>
          <w:rFonts w:ascii="Arial" w:hAnsi="Arial" w:cs="Arial"/>
          <w:b/>
          <w:bCs/>
          <w:color w:val="595959" w:themeColor="text1" w:themeTint="A6"/>
          <w:sz w:val="20"/>
          <w:szCs w:val="20"/>
        </w:rPr>
        <w:t>Gesetz zum Schutz von Geschäftsgeheimnissen (</w:t>
      </w:r>
      <w:proofErr w:type="spellStart"/>
      <w:r w:rsidRPr="00FC6E8D">
        <w:rPr>
          <w:rFonts w:ascii="Arial" w:hAnsi="Arial" w:cs="Arial"/>
          <w:b/>
          <w:bCs/>
          <w:color w:val="595959" w:themeColor="text1" w:themeTint="A6"/>
          <w:sz w:val="20"/>
          <w:szCs w:val="20"/>
        </w:rPr>
        <w:t>GeschGehG</w:t>
      </w:r>
      <w:proofErr w:type="spellEnd"/>
      <w:r w:rsidRPr="00FC6E8D">
        <w:rPr>
          <w:rFonts w:ascii="Arial" w:hAnsi="Arial" w:cs="Arial"/>
          <w:b/>
          <w:bCs/>
          <w:color w:val="595959" w:themeColor="text1" w:themeTint="A6"/>
          <w:sz w:val="20"/>
          <w:szCs w:val="20"/>
        </w:rPr>
        <w:t>)</w:t>
      </w:r>
    </w:p>
    <w:p w14:paraId="5951DABA" w14:textId="1DD730CB" w:rsidR="00FC6E8D" w:rsidRPr="00FC6E8D" w:rsidRDefault="00FC6E8D" w:rsidP="00FC6E8D">
      <w:pPr>
        <w:jc w:val="both"/>
        <w:rPr>
          <w:rFonts w:ascii="Arial" w:hAnsi="Arial" w:cs="Arial"/>
          <w:b/>
          <w:bCs/>
          <w:color w:val="595959" w:themeColor="text1" w:themeTint="A6"/>
          <w:sz w:val="20"/>
          <w:szCs w:val="20"/>
        </w:rPr>
      </w:pPr>
      <w:r w:rsidRPr="00FC6E8D">
        <w:rPr>
          <w:rFonts w:ascii="Arial" w:hAnsi="Arial" w:cs="Arial"/>
          <w:b/>
          <w:bCs/>
          <w:color w:val="595959" w:themeColor="text1" w:themeTint="A6"/>
          <w:sz w:val="20"/>
          <w:szCs w:val="20"/>
        </w:rPr>
        <w:t xml:space="preserve">§ 2 </w:t>
      </w:r>
    </w:p>
    <w:p w14:paraId="3440FBD2" w14:textId="77777777" w:rsidR="00FC6E8D" w:rsidRPr="00FC6E8D"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 xml:space="preserve">(1) Im Sinne dieses Gesetzes ist Geschäftsgeheimnis eine Information </w:t>
      </w:r>
    </w:p>
    <w:p w14:paraId="3C09707F" w14:textId="77777777" w:rsidR="00FC6E8D" w:rsidRPr="00FC6E8D"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1. die weder insgesamt noch in der genauen Anordnung und Zusammensetzung ihrer Bestandteile den Personen in den Kreisen, die üblicherweise mit dieser Art von Informationen umgehen, allgemein bekannt oder ohne Weiteres zugänglich ist und daher von wirtschaftlichem Wert ist und</w:t>
      </w:r>
    </w:p>
    <w:p w14:paraId="512D7D5F" w14:textId="77777777" w:rsidR="00FC6E8D" w:rsidRPr="00FC6E8D"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 xml:space="preserve">2. </w:t>
      </w:r>
      <w:proofErr w:type="gramStart"/>
      <w:r w:rsidRPr="00FC6E8D">
        <w:rPr>
          <w:rFonts w:ascii="Arial" w:hAnsi="Arial" w:cs="Arial"/>
          <w:color w:val="595959" w:themeColor="text1" w:themeTint="A6"/>
          <w:sz w:val="20"/>
          <w:szCs w:val="20"/>
        </w:rPr>
        <w:t>die Gegenstand</w:t>
      </w:r>
      <w:proofErr w:type="gramEnd"/>
      <w:r w:rsidRPr="00FC6E8D">
        <w:rPr>
          <w:rFonts w:ascii="Arial" w:hAnsi="Arial" w:cs="Arial"/>
          <w:color w:val="595959" w:themeColor="text1" w:themeTint="A6"/>
          <w:sz w:val="20"/>
          <w:szCs w:val="20"/>
        </w:rPr>
        <w:t xml:space="preserve"> von den Umständen nach angemessenen Geheimhaltungsmaßnahmen durch ihren rechtmäßigen Inhaber ist und</w:t>
      </w:r>
    </w:p>
    <w:p w14:paraId="592F790E" w14:textId="77777777" w:rsidR="00FC6E8D" w:rsidRPr="00FC6E8D"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3. bei der ein berechtigtes Interesse an der Geheimhaltung besteht;</w:t>
      </w:r>
    </w:p>
    <w:p w14:paraId="0D43FC3C" w14:textId="77777777" w:rsidR="00FC6E8D" w:rsidRPr="00FC6E8D"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(2) Inhaber eines Geschäftsgeheimnisses ist jede natürliche oder juristische Person, die die rechtmäßige Kontrolle über ein Geschäftsgeheimnis hat;</w:t>
      </w:r>
    </w:p>
    <w:p w14:paraId="04303DBA" w14:textId="77777777" w:rsidR="00FC6E8D" w:rsidRPr="00FC6E8D"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 xml:space="preserve">(3) </w:t>
      </w:r>
      <w:proofErr w:type="spellStart"/>
      <w:r w:rsidRPr="00FC6E8D">
        <w:rPr>
          <w:rFonts w:ascii="Arial" w:hAnsi="Arial" w:cs="Arial"/>
          <w:color w:val="595959" w:themeColor="text1" w:themeTint="A6"/>
          <w:sz w:val="20"/>
          <w:szCs w:val="20"/>
        </w:rPr>
        <w:t>Rechtsverletzer</w:t>
      </w:r>
      <w:proofErr w:type="spellEnd"/>
      <w:r w:rsidRPr="00FC6E8D">
        <w:rPr>
          <w:rFonts w:ascii="Arial" w:hAnsi="Arial" w:cs="Arial"/>
          <w:color w:val="595959" w:themeColor="text1" w:themeTint="A6"/>
          <w:sz w:val="20"/>
          <w:szCs w:val="20"/>
        </w:rPr>
        <w:t xml:space="preserve"> ist jede natürliche oder juristische Person, die entgegen § 4 ein Geschäftsgeheimnis rechtswidrig erlangt, nutzt oder offenlegt; </w:t>
      </w:r>
      <w:proofErr w:type="spellStart"/>
      <w:r w:rsidRPr="00FC6E8D">
        <w:rPr>
          <w:rFonts w:ascii="Arial" w:hAnsi="Arial" w:cs="Arial"/>
          <w:color w:val="595959" w:themeColor="text1" w:themeTint="A6"/>
          <w:sz w:val="20"/>
          <w:szCs w:val="20"/>
        </w:rPr>
        <w:t>Rechtsverletzer</w:t>
      </w:r>
      <w:proofErr w:type="spellEnd"/>
      <w:r w:rsidRPr="00FC6E8D">
        <w:rPr>
          <w:rFonts w:ascii="Arial" w:hAnsi="Arial" w:cs="Arial"/>
          <w:color w:val="595959" w:themeColor="text1" w:themeTint="A6"/>
          <w:sz w:val="20"/>
          <w:szCs w:val="20"/>
        </w:rPr>
        <w:t xml:space="preserve"> ist nicht, wer sich auf eine Ausnahme nach § 5 berufen kann;</w:t>
      </w:r>
    </w:p>
    <w:p w14:paraId="6625045B" w14:textId="49BCB753" w:rsidR="00FC6E8D" w:rsidRPr="00356F40" w:rsidRDefault="00FC6E8D" w:rsidP="00FC6E8D">
      <w:pPr>
        <w:jc w:val="both"/>
        <w:rPr>
          <w:rFonts w:ascii="Arial" w:hAnsi="Arial" w:cs="Arial"/>
          <w:color w:val="595959" w:themeColor="text1" w:themeTint="A6"/>
          <w:sz w:val="20"/>
          <w:szCs w:val="20"/>
        </w:rPr>
      </w:pPr>
      <w:r w:rsidRPr="00FC6E8D">
        <w:rPr>
          <w:rFonts w:ascii="Arial" w:hAnsi="Arial" w:cs="Arial"/>
          <w:color w:val="595959" w:themeColor="text1" w:themeTint="A6"/>
          <w:sz w:val="20"/>
          <w:szCs w:val="20"/>
        </w:rPr>
        <w:t>(4) rechtsverletzendes Produkt ist ein Produkt, dessen Konzeption, Merkmale, Funktionsweise, Herstellungsprozess oder Marketing in erheblichem Umfang auf einem rechtswidrig erlangten, genutzten oder offengelegten Geschäftsgeheimnis beruht.</w:t>
      </w:r>
    </w:p>
    <w:p w14:paraId="354DE369" w14:textId="7A68EA1A" w:rsidR="00A67260" w:rsidRPr="00356F40" w:rsidRDefault="00A67260" w:rsidP="00A67260">
      <w:pPr>
        <w:jc w:val="both"/>
        <w:rPr>
          <w:rFonts w:ascii="Arial" w:hAnsi="Arial" w:cs="Arial"/>
          <w:b/>
          <w:color w:val="595959" w:themeColor="text1" w:themeTint="A6"/>
          <w:szCs w:val="20"/>
        </w:rPr>
      </w:pPr>
      <w:r w:rsidRPr="00356F40">
        <w:rPr>
          <w:rFonts w:ascii="Arial" w:hAnsi="Arial" w:cs="Arial"/>
          <w:b/>
          <w:color w:val="595959" w:themeColor="text1" w:themeTint="A6"/>
          <w:szCs w:val="20"/>
        </w:rPr>
        <w:t>Datenschutz-Grundverordnung</w:t>
      </w:r>
      <w:r w:rsidR="00EB1422">
        <w:rPr>
          <w:rFonts w:ascii="Arial" w:hAnsi="Arial" w:cs="Arial"/>
          <w:b/>
          <w:color w:val="595959" w:themeColor="text1" w:themeTint="A6"/>
          <w:szCs w:val="20"/>
        </w:rPr>
        <w:t xml:space="preserve"> (DSGVO)</w:t>
      </w:r>
    </w:p>
    <w:p w14:paraId="081A08F1" w14:textId="77777777" w:rsidR="00A67260" w:rsidRPr="00356F40" w:rsidRDefault="00A67260" w:rsidP="00A67260">
      <w:pPr>
        <w:jc w:val="both"/>
        <w:rPr>
          <w:rFonts w:ascii="Arial" w:hAnsi="Arial" w:cs="Arial"/>
          <w:b/>
          <w:color w:val="595959" w:themeColor="text1" w:themeTint="A6"/>
          <w:sz w:val="20"/>
          <w:szCs w:val="20"/>
        </w:rPr>
      </w:pPr>
      <w:r w:rsidRPr="00356F40">
        <w:rPr>
          <w:rFonts w:ascii="Arial" w:hAnsi="Arial" w:cs="Arial"/>
          <w:b/>
          <w:color w:val="595959" w:themeColor="text1" w:themeTint="A6"/>
          <w:sz w:val="20"/>
          <w:szCs w:val="20"/>
        </w:rPr>
        <w:t>Artikel 5</w:t>
      </w:r>
    </w:p>
    <w:p w14:paraId="69D5B833" w14:textId="77777777"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(1) Personenbezogene Daten müssen</w:t>
      </w:r>
    </w:p>
    <w:p w14:paraId="470874A3" w14:textId="2FA5C2DE"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a</w:t>
      </w:r>
      <w:r w:rsidR="00356F40">
        <w:rPr>
          <w:rFonts w:ascii="Arial" w:hAnsi="Arial" w:cs="Arial"/>
          <w:color w:val="595959" w:themeColor="text1" w:themeTint="A6"/>
          <w:sz w:val="20"/>
          <w:szCs w:val="20"/>
        </w:rPr>
        <w:t>)</w:t>
      </w:r>
      <w:r w:rsidRPr="00356F40">
        <w:rPr>
          <w:rFonts w:ascii="Arial" w:hAnsi="Arial" w:cs="Arial"/>
          <w:color w:val="595959" w:themeColor="text1" w:themeTint="A6"/>
          <w:sz w:val="20"/>
          <w:szCs w:val="20"/>
        </w:rPr>
        <w:t xml:space="preserve"> auf rechtmäßige Weise, nach Treu und Glauben und in einer für die betroffene Person nachvollziehbaren Weise verarbeitet werden </w:t>
      </w:r>
      <w:r w:rsidRPr="00356F40">
        <w:rPr>
          <w:rFonts w:ascii="Arial" w:hAnsi="Arial" w:cs="Arial"/>
          <w:color w:val="595959" w:themeColor="text1" w:themeTint="A6"/>
          <w:sz w:val="20"/>
          <w:szCs w:val="20"/>
        </w:rPr>
        <w:t>(„Rechtmäßigkeit, Verarbeitung nach Treu und Glauben, Transparenz“);</w:t>
      </w:r>
    </w:p>
    <w:p w14:paraId="2A6F7193" w14:textId="57B4479C"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b</w:t>
      </w:r>
      <w:r w:rsidR="00356F40">
        <w:rPr>
          <w:rFonts w:ascii="Arial" w:hAnsi="Arial" w:cs="Arial"/>
          <w:color w:val="595959" w:themeColor="text1" w:themeTint="A6"/>
          <w:sz w:val="20"/>
          <w:szCs w:val="20"/>
        </w:rPr>
        <w:t>)</w:t>
      </w:r>
      <w:r w:rsidRPr="00356F40">
        <w:rPr>
          <w:rFonts w:ascii="Arial" w:hAnsi="Arial" w:cs="Arial"/>
          <w:color w:val="595959" w:themeColor="text1" w:themeTint="A6"/>
          <w:sz w:val="20"/>
          <w:szCs w:val="20"/>
        </w:rPr>
        <w:t xml:space="preserve"> 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14:paraId="1064DE82" w14:textId="49B637E7"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c</w:t>
      </w:r>
      <w:r w:rsidR="00356F40">
        <w:rPr>
          <w:rFonts w:ascii="Arial" w:hAnsi="Arial" w:cs="Arial"/>
          <w:color w:val="595959" w:themeColor="text1" w:themeTint="A6"/>
          <w:sz w:val="20"/>
          <w:szCs w:val="20"/>
        </w:rPr>
        <w:t>)</w:t>
      </w:r>
      <w:r w:rsidRPr="00356F40">
        <w:rPr>
          <w:rFonts w:ascii="Arial" w:hAnsi="Arial" w:cs="Arial"/>
          <w:color w:val="595959" w:themeColor="text1" w:themeTint="A6"/>
          <w:sz w:val="20"/>
          <w:szCs w:val="20"/>
        </w:rPr>
        <w:t xml:space="preserve"> dem Zweck angemessen und erheblich sowie auf das für die Zwecke der Verarbeitung notwendige Maß beschränkt sein („Datenminimierung“);</w:t>
      </w:r>
    </w:p>
    <w:p w14:paraId="08B8ED5B" w14:textId="779024B4"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d</w:t>
      </w:r>
      <w:r w:rsidR="00356F40">
        <w:rPr>
          <w:rFonts w:ascii="Arial" w:hAnsi="Arial" w:cs="Arial"/>
          <w:color w:val="595959" w:themeColor="text1" w:themeTint="A6"/>
          <w:sz w:val="20"/>
          <w:szCs w:val="20"/>
        </w:rPr>
        <w:t>)</w:t>
      </w:r>
      <w:r w:rsidRPr="00356F40">
        <w:rPr>
          <w:rFonts w:ascii="Arial" w:hAnsi="Arial" w:cs="Arial"/>
          <w:color w:val="595959" w:themeColor="text1" w:themeTint="A6"/>
          <w:sz w:val="20"/>
          <w:szCs w:val="20"/>
        </w:rPr>
        <w:t xml:space="preserve"> sachlich richtig und erforderlichenfalls auf dem neuesten Stand sein; es sind alle angemessenen Maßnahmen zu treffen, damit personenbezogene Daten, die im Hinblick auf die Zwecke ihrer Verarbeitung unrichtig sind, unverzüglich gelöscht oder berichtigt werden („Richtigkeit“);</w:t>
      </w:r>
    </w:p>
    <w:p w14:paraId="39768484" w14:textId="0F39C824"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e</w:t>
      </w:r>
      <w:r w:rsidR="00356F40">
        <w:rPr>
          <w:rFonts w:ascii="Arial" w:hAnsi="Arial" w:cs="Arial"/>
          <w:color w:val="595959" w:themeColor="text1" w:themeTint="A6"/>
          <w:sz w:val="20"/>
          <w:szCs w:val="20"/>
        </w:rPr>
        <w:t>)</w:t>
      </w:r>
      <w:r w:rsidRPr="00356F40">
        <w:rPr>
          <w:rFonts w:ascii="Arial" w:hAnsi="Arial" w:cs="Arial"/>
          <w:color w:val="595959" w:themeColor="text1" w:themeTint="A6"/>
          <w:sz w:val="20"/>
          <w:szCs w:val="20"/>
        </w:rPr>
        <w:t xml:space="preserve"> 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oder für wissenschaftliche und historische Forschungszwecke oder für statistische Zwecke gemäß Artikel 89 Absatz 1 verarbeitet werden („Speicherbegrenzung“);</w:t>
      </w:r>
    </w:p>
    <w:p w14:paraId="12C6883C" w14:textId="755658BD"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f</w:t>
      </w:r>
      <w:r w:rsidR="00356F40">
        <w:rPr>
          <w:rFonts w:ascii="Arial" w:hAnsi="Arial" w:cs="Arial"/>
          <w:color w:val="595959" w:themeColor="text1" w:themeTint="A6"/>
          <w:sz w:val="20"/>
          <w:szCs w:val="20"/>
        </w:rPr>
        <w:t>)</w:t>
      </w:r>
      <w:r w:rsidRPr="00356F40">
        <w:rPr>
          <w:rFonts w:ascii="Arial" w:hAnsi="Arial" w:cs="Arial"/>
          <w:color w:val="595959" w:themeColor="text1" w:themeTint="A6"/>
          <w:sz w:val="20"/>
          <w:szCs w:val="20"/>
        </w:rPr>
        <w:t xml:space="preserve">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656515D3" w14:textId="65B32DB4"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lastRenderedPageBreak/>
        <w:t>(2) Der Verantwortliche ist für die Einhaltung des Absatzes 1 verantwortlich und muss dessen Einhaltung nachweisen können („Rechenschaftspflicht“).</w:t>
      </w:r>
    </w:p>
    <w:p w14:paraId="25ED512C" w14:textId="66C8FB79" w:rsidR="00356F40" w:rsidRPr="00356F40" w:rsidRDefault="00356F40" w:rsidP="00356F40">
      <w:pPr>
        <w:jc w:val="both"/>
        <w:rPr>
          <w:rFonts w:ascii="Arial" w:hAnsi="Arial" w:cs="Arial"/>
          <w:b/>
          <w:bCs/>
          <w:color w:val="595959" w:themeColor="text1" w:themeTint="A6"/>
          <w:sz w:val="20"/>
          <w:szCs w:val="20"/>
        </w:rPr>
      </w:pPr>
      <w:r w:rsidRPr="00356F40">
        <w:rPr>
          <w:rFonts w:ascii="Arial" w:hAnsi="Arial" w:cs="Arial"/>
          <w:b/>
          <w:bCs/>
          <w:color w:val="595959" w:themeColor="text1" w:themeTint="A6"/>
          <w:sz w:val="20"/>
          <w:szCs w:val="20"/>
        </w:rPr>
        <w:t>Art. 32 DSGVO</w:t>
      </w:r>
    </w:p>
    <w:p w14:paraId="217D921D" w14:textId="20962F43" w:rsidR="00356F40" w:rsidRPr="00356F40" w:rsidRDefault="00356F40" w:rsidP="00356F40">
      <w:pPr>
        <w:pStyle w:val="StandardWeb"/>
        <w:shd w:val="clear" w:color="auto" w:fill="FFFFFF"/>
        <w:spacing w:before="0" w:beforeAutospacing="0" w:after="225" w:afterAutospacing="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(1) 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gegebenenfalls unter anderem Folgendes ein:</w:t>
      </w:r>
    </w:p>
    <w:tbl>
      <w:tblPr>
        <w:tblW w:w="4355" w:type="dxa"/>
        <w:tblCellSpacing w:w="15" w:type="dxa"/>
        <w:tblInd w:w="-1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5"/>
        <w:gridCol w:w="472"/>
        <w:gridCol w:w="3578"/>
      </w:tblGrid>
      <w:tr w:rsidR="00356F40" w:rsidRPr="00356F40" w14:paraId="496EC0D9" w14:textId="77777777" w:rsidTr="00EB1422">
        <w:trPr>
          <w:tblCellSpacing w:w="15" w:type="dxa"/>
        </w:trPr>
        <w:tc>
          <w:tcPr>
            <w:tcW w:w="260" w:type="dxa"/>
            <w:shd w:val="clear" w:color="auto" w:fill="FFFFFF"/>
            <w:tcMar>
              <w:top w:w="96" w:type="dxa"/>
              <w:left w:w="144" w:type="dxa"/>
              <w:bottom w:w="96" w:type="dxa"/>
              <w:right w:w="96" w:type="dxa"/>
            </w:tcMar>
            <w:hideMark/>
          </w:tcPr>
          <w:p w14:paraId="695B15B6" w14:textId="77777777" w:rsidR="00356F40" w:rsidRPr="00356F40" w:rsidRDefault="00356F40" w:rsidP="00356F40">
            <w:pPr>
              <w:jc w:val="both"/>
              <w:rPr>
                <w:rFonts w:ascii="Arial" w:hAnsi="Arial" w:cs="Arial"/>
                <w:color w:val="595959" w:themeColor="text1" w:themeTint="A6"/>
                <w:sz w:val="20"/>
                <w:szCs w:val="20"/>
              </w:rPr>
            </w:pPr>
          </w:p>
        </w:tc>
        <w:tc>
          <w:tcPr>
            <w:tcW w:w="442" w:type="dxa"/>
            <w:shd w:val="clear" w:color="auto" w:fill="FFFFFF"/>
            <w:tcMar>
              <w:top w:w="96" w:type="dxa"/>
              <w:left w:w="144" w:type="dxa"/>
              <w:bottom w:w="96" w:type="dxa"/>
              <w:right w:w="96" w:type="dxa"/>
            </w:tcMar>
            <w:hideMark/>
          </w:tcPr>
          <w:p w14:paraId="665CC347" w14:textId="77777777" w:rsidR="00356F40" w:rsidRPr="00356F40" w:rsidRDefault="00356F40" w:rsidP="00356F40">
            <w:pPr>
              <w:spacing w:after="15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a)</w:t>
            </w:r>
          </w:p>
        </w:tc>
        <w:tc>
          <w:tcPr>
            <w:tcW w:w="3533" w:type="dxa"/>
            <w:shd w:val="clear" w:color="auto" w:fill="FFFFFF"/>
            <w:tcMar>
              <w:top w:w="96" w:type="dxa"/>
              <w:left w:w="144" w:type="dxa"/>
              <w:bottom w:w="96" w:type="dxa"/>
              <w:right w:w="96" w:type="dxa"/>
            </w:tcMar>
            <w:hideMark/>
          </w:tcPr>
          <w:p w14:paraId="0FBC64AB" w14:textId="77777777" w:rsidR="00356F40" w:rsidRPr="00356F40" w:rsidRDefault="00356F40" w:rsidP="00EB1422">
            <w:pPr>
              <w:spacing w:after="150" w:line="240" w:lineRule="auto"/>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die Pseudonymisierung und Verschlüsselung personenbezogener Daten;</w:t>
            </w:r>
          </w:p>
        </w:tc>
      </w:tr>
      <w:tr w:rsidR="00356F40" w:rsidRPr="00356F40" w14:paraId="6A7534F5" w14:textId="77777777" w:rsidTr="00EB1422">
        <w:trPr>
          <w:tblCellSpacing w:w="15" w:type="dxa"/>
        </w:trPr>
        <w:tc>
          <w:tcPr>
            <w:tcW w:w="260" w:type="dxa"/>
            <w:shd w:val="clear" w:color="auto" w:fill="FFFFFF"/>
            <w:tcMar>
              <w:top w:w="96" w:type="dxa"/>
              <w:left w:w="144" w:type="dxa"/>
              <w:bottom w:w="96" w:type="dxa"/>
              <w:right w:w="96" w:type="dxa"/>
            </w:tcMar>
            <w:hideMark/>
          </w:tcPr>
          <w:p w14:paraId="38E91EAC" w14:textId="77777777" w:rsidR="00356F40" w:rsidRPr="00356F40" w:rsidRDefault="00356F40" w:rsidP="00356F40">
            <w:pPr>
              <w:spacing w:after="150"/>
              <w:jc w:val="both"/>
              <w:rPr>
                <w:rFonts w:ascii="Arial" w:hAnsi="Arial" w:cs="Arial"/>
                <w:color w:val="595959" w:themeColor="text1" w:themeTint="A6"/>
                <w:sz w:val="20"/>
                <w:szCs w:val="20"/>
              </w:rPr>
            </w:pPr>
          </w:p>
        </w:tc>
        <w:tc>
          <w:tcPr>
            <w:tcW w:w="442" w:type="dxa"/>
            <w:shd w:val="clear" w:color="auto" w:fill="FFFFFF"/>
            <w:tcMar>
              <w:top w:w="96" w:type="dxa"/>
              <w:left w:w="144" w:type="dxa"/>
              <w:bottom w:w="96" w:type="dxa"/>
              <w:right w:w="96" w:type="dxa"/>
            </w:tcMar>
            <w:hideMark/>
          </w:tcPr>
          <w:p w14:paraId="624A7E28" w14:textId="77777777" w:rsidR="00356F40" w:rsidRPr="00356F40" w:rsidRDefault="00356F40" w:rsidP="00356F40">
            <w:pPr>
              <w:spacing w:after="15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b)</w:t>
            </w:r>
          </w:p>
        </w:tc>
        <w:tc>
          <w:tcPr>
            <w:tcW w:w="3533" w:type="dxa"/>
            <w:shd w:val="clear" w:color="auto" w:fill="FFFFFF"/>
            <w:tcMar>
              <w:top w:w="96" w:type="dxa"/>
              <w:left w:w="144" w:type="dxa"/>
              <w:bottom w:w="96" w:type="dxa"/>
              <w:right w:w="96" w:type="dxa"/>
            </w:tcMar>
            <w:hideMark/>
          </w:tcPr>
          <w:p w14:paraId="5ED69DEB" w14:textId="77777777" w:rsidR="00356F40" w:rsidRPr="00356F40" w:rsidRDefault="00356F40" w:rsidP="00EB1422">
            <w:pPr>
              <w:spacing w:after="150" w:line="240" w:lineRule="auto"/>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die Fähigkeit, die Vertraulichkeit, Integrität, Verfügbarkeit und Belastbarkeit der Systeme und Dienste im Zusammenhang mit der Verarbeitung auf Dauer sicherzustellen;</w:t>
            </w:r>
          </w:p>
        </w:tc>
      </w:tr>
      <w:tr w:rsidR="00356F40" w:rsidRPr="00356F40" w14:paraId="5786C584" w14:textId="77777777" w:rsidTr="00EB1422">
        <w:trPr>
          <w:tblCellSpacing w:w="15" w:type="dxa"/>
        </w:trPr>
        <w:tc>
          <w:tcPr>
            <w:tcW w:w="260" w:type="dxa"/>
            <w:shd w:val="clear" w:color="auto" w:fill="FFFFFF"/>
            <w:tcMar>
              <w:top w:w="96" w:type="dxa"/>
              <w:left w:w="144" w:type="dxa"/>
              <w:bottom w:w="96" w:type="dxa"/>
              <w:right w:w="96" w:type="dxa"/>
            </w:tcMar>
            <w:hideMark/>
          </w:tcPr>
          <w:p w14:paraId="2D7D8D1F" w14:textId="77777777" w:rsidR="00356F40" w:rsidRPr="00356F40" w:rsidRDefault="00356F40" w:rsidP="00356F40">
            <w:pPr>
              <w:spacing w:after="150"/>
              <w:jc w:val="both"/>
              <w:rPr>
                <w:rFonts w:ascii="Arial" w:hAnsi="Arial" w:cs="Arial"/>
                <w:color w:val="595959" w:themeColor="text1" w:themeTint="A6"/>
                <w:sz w:val="20"/>
                <w:szCs w:val="20"/>
              </w:rPr>
            </w:pPr>
          </w:p>
        </w:tc>
        <w:tc>
          <w:tcPr>
            <w:tcW w:w="442" w:type="dxa"/>
            <w:shd w:val="clear" w:color="auto" w:fill="FFFFFF"/>
            <w:tcMar>
              <w:top w:w="96" w:type="dxa"/>
              <w:left w:w="144" w:type="dxa"/>
              <w:bottom w:w="96" w:type="dxa"/>
              <w:right w:w="96" w:type="dxa"/>
            </w:tcMar>
            <w:hideMark/>
          </w:tcPr>
          <w:p w14:paraId="449BAA3D" w14:textId="77777777" w:rsidR="00356F40" w:rsidRPr="00356F40" w:rsidRDefault="00356F40" w:rsidP="00356F40">
            <w:pPr>
              <w:spacing w:after="15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c)</w:t>
            </w:r>
          </w:p>
        </w:tc>
        <w:tc>
          <w:tcPr>
            <w:tcW w:w="3533" w:type="dxa"/>
            <w:shd w:val="clear" w:color="auto" w:fill="FFFFFF"/>
            <w:tcMar>
              <w:top w:w="96" w:type="dxa"/>
              <w:left w:w="144" w:type="dxa"/>
              <w:bottom w:w="96" w:type="dxa"/>
              <w:right w:w="96" w:type="dxa"/>
            </w:tcMar>
            <w:hideMark/>
          </w:tcPr>
          <w:p w14:paraId="22DEC70B" w14:textId="77777777" w:rsidR="00356F40" w:rsidRPr="00356F40" w:rsidRDefault="00356F40" w:rsidP="00EB1422">
            <w:pPr>
              <w:spacing w:after="150" w:line="240" w:lineRule="auto"/>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die Fähigkeit, die Verfügbarkeit der personenbezogenen Daten und den Zugang zu ihnen bei einem physischen oder technischen Zwischenfall rasch wiederherzustellen;</w:t>
            </w:r>
          </w:p>
        </w:tc>
      </w:tr>
      <w:tr w:rsidR="00356F40" w:rsidRPr="00356F40" w14:paraId="50204636" w14:textId="77777777" w:rsidTr="00EB1422">
        <w:trPr>
          <w:tblCellSpacing w:w="15" w:type="dxa"/>
        </w:trPr>
        <w:tc>
          <w:tcPr>
            <w:tcW w:w="260" w:type="dxa"/>
            <w:shd w:val="clear" w:color="auto" w:fill="FFFFFF"/>
            <w:tcMar>
              <w:top w:w="96" w:type="dxa"/>
              <w:left w:w="144" w:type="dxa"/>
              <w:bottom w:w="96" w:type="dxa"/>
              <w:right w:w="96" w:type="dxa"/>
            </w:tcMar>
            <w:hideMark/>
          </w:tcPr>
          <w:p w14:paraId="68542E98" w14:textId="77777777" w:rsidR="00356F40" w:rsidRPr="00356F40" w:rsidRDefault="00356F40" w:rsidP="00356F40">
            <w:pPr>
              <w:spacing w:after="150"/>
              <w:jc w:val="both"/>
              <w:rPr>
                <w:rFonts w:ascii="Arial" w:hAnsi="Arial" w:cs="Arial"/>
                <w:color w:val="595959" w:themeColor="text1" w:themeTint="A6"/>
                <w:sz w:val="20"/>
                <w:szCs w:val="20"/>
              </w:rPr>
            </w:pPr>
          </w:p>
        </w:tc>
        <w:tc>
          <w:tcPr>
            <w:tcW w:w="442" w:type="dxa"/>
            <w:shd w:val="clear" w:color="auto" w:fill="FFFFFF"/>
            <w:tcMar>
              <w:top w:w="96" w:type="dxa"/>
              <w:left w:w="144" w:type="dxa"/>
              <w:bottom w:w="96" w:type="dxa"/>
              <w:right w:w="96" w:type="dxa"/>
            </w:tcMar>
            <w:hideMark/>
          </w:tcPr>
          <w:p w14:paraId="008C6EAA" w14:textId="77777777" w:rsidR="00356F40" w:rsidRPr="00356F40" w:rsidRDefault="00356F40" w:rsidP="00356F40">
            <w:pPr>
              <w:spacing w:after="15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d)</w:t>
            </w:r>
          </w:p>
        </w:tc>
        <w:tc>
          <w:tcPr>
            <w:tcW w:w="3533" w:type="dxa"/>
            <w:shd w:val="clear" w:color="auto" w:fill="FFFFFF"/>
            <w:tcMar>
              <w:top w:w="96" w:type="dxa"/>
              <w:left w:w="144" w:type="dxa"/>
              <w:bottom w:w="96" w:type="dxa"/>
              <w:right w:w="96" w:type="dxa"/>
            </w:tcMar>
            <w:hideMark/>
          </w:tcPr>
          <w:p w14:paraId="267E2363" w14:textId="77777777" w:rsidR="00356F40" w:rsidRPr="00356F40" w:rsidRDefault="00356F40" w:rsidP="00EB1422">
            <w:pPr>
              <w:spacing w:after="150" w:line="240" w:lineRule="auto"/>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ein Verfahren zur regelmäßigen Überprüfung, Bewertung und Evaluierung der Wirksamkeit der technischen und organisatorischen Maßnahmen zur Gewährleistung der Sicherheit der Verarbeitung.</w:t>
            </w:r>
          </w:p>
        </w:tc>
      </w:tr>
    </w:tbl>
    <w:p w14:paraId="01326245" w14:textId="77777777" w:rsidR="00356F40" w:rsidRPr="00356F40" w:rsidRDefault="00356F40" w:rsidP="00356F40">
      <w:pPr>
        <w:pStyle w:val="StandardWeb"/>
        <w:shd w:val="clear" w:color="auto" w:fill="FFFFFF"/>
        <w:spacing w:before="0" w:beforeAutospacing="0" w:after="225" w:afterAutospacing="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(2) Bei der Beurteilung des angemessenen Schutzniveaus sind insbesondere die Risiken zu berücksichtigen, die mit der Verarbeitung verbunden sind, insbesondere durch - ob unbeabsichtigt oder unrechtmäßig - Vernichtung, Verlust, Veränderung oder unbefugte Offenlegung von beziehungsweise unbefugten Zugang zu personenbezogenen Daten, die übermittelt, gespeichert oder auf andere Weise verarbeitet wurden.</w:t>
      </w:r>
    </w:p>
    <w:p w14:paraId="04F0A85E" w14:textId="77777777" w:rsidR="00356F40" w:rsidRPr="00356F40" w:rsidRDefault="00356F40" w:rsidP="00356F40">
      <w:pPr>
        <w:pStyle w:val="StandardWeb"/>
        <w:shd w:val="clear" w:color="auto" w:fill="FFFFFF"/>
        <w:spacing w:before="0" w:beforeAutospacing="0" w:after="225" w:afterAutospacing="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(3) Die Einhaltung genehmigter Verhaltensregeln gemäß Artikel </w:t>
      </w:r>
      <w:hyperlink r:id="rId10" w:history="1">
        <w:r w:rsidRPr="00356F40">
          <w:rPr>
            <w:rStyle w:val="Hyperlink"/>
            <w:rFonts w:ascii="Arial" w:eastAsiaTheme="majorEastAsia" w:hAnsi="Arial" w:cs="Arial"/>
            <w:color w:val="595959" w:themeColor="text1" w:themeTint="A6"/>
            <w:sz w:val="20"/>
            <w:szCs w:val="20"/>
          </w:rPr>
          <w:t>40</w:t>
        </w:r>
      </w:hyperlink>
      <w:r w:rsidRPr="00356F40">
        <w:rPr>
          <w:rFonts w:ascii="Arial" w:hAnsi="Arial" w:cs="Arial"/>
          <w:color w:val="595959" w:themeColor="text1" w:themeTint="A6"/>
          <w:sz w:val="20"/>
          <w:szCs w:val="20"/>
        </w:rPr>
        <w:t> oder eines genehmigten Zertifizierungsverfahrens gemäß Artikel </w:t>
      </w:r>
      <w:hyperlink r:id="rId11" w:history="1">
        <w:r w:rsidRPr="00356F40">
          <w:rPr>
            <w:rStyle w:val="Hyperlink"/>
            <w:rFonts w:ascii="Arial" w:eastAsiaTheme="majorEastAsia" w:hAnsi="Arial" w:cs="Arial"/>
            <w:color w:val="595959" w:themeColor="text1" w:themeTint="A6"/>
            <w:sz w:val="20"/>
            <w:szCs w:val="20"/>
          </w:rPr>
          <w:t>42</w:t>
        </w:r>
      </w:hyperlink>
      <w:r w:rsidRPr="00356F40">
        <w:rPr>
          <w:rFonts w:ascii="Arial" w:hAnsi="Arial" w:cs="Arial"/>
          <w:color w:val="595959" w:themeColor="text1" w:themeTint="A6"/>
          <w:sz w:val="20"/>
          <w:szCs w:val="20"/>
        </w:rPr>
        <w:t> kann als Faktor herangezogen werden, um die Erfüllung der in Absatz 1 des vorliegenden Artikels genannten Anforderungen nachzuweisen.</w:t>
      </w:r>
    </w:p>
    <w:p w14:paraId="3B52C24C" w14:textId="02C4F8A1" w:rsidR="00356F40" w:rsidRPr="00356F40" w:rsidRDefault="00356F40" w:rsidP="00356F40">
      <w:pPr>
        <w:pStyle w:val="StandardWeb"/>
        <w:shd w:val="clear" w:color="auto" w:fill="FFFFFF"/>
        <w:spacing w:before="0" w:beforeAutospacing="0" w:after="225" w:afterAutospacing="0"/>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72032A0C" w14:textId="77777777" w:rsidR="00A67260" w:rsidRPr="00356F40" w:rsidRDefault="00A67260" w:rsidP="00A67260">
      <w:pPr>
        <w:jc w:val="both"/>
        <w:rPr>
          <w:rFonts w:ascii="Arial" w:hAnsi="Arial" w:cs="Arial"/>
          <w:b/>
          <w:color w:val="595959" w:themeColor="text1" w:themeTint="A6"/>
          <w:sz w:val="20"/>
          <w:szCs w:val="20"/>
        </w:rPr>
      </w:pPr>
      <w:r w:rsidRPr="00356F40">
        <w:rPr>
          <w:rFonts w:ascii="Arial" w:hAnsi="Arial" w:cs="Arial"/>
          <w:b/>
          <w:color w:val="595959" w:themeColor="text1" w:themeTint="A6"/>
          <w:sz w:val="20"/>
          <w:szCs w:val="20"/>
        </w:rPr>
        <w:t>Artikel 82</w:t>
      </w:r>
    </w:p>
    <w:p w14:paraId="7E710BDC" w14:textId="77777777"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(1) Jede Person, der wegen eines Verstoßes gegen diese Verordnung ein materieller oder immaterieller Schaden entstanden ist, hat Anspruch auf Schadenersatz gegen den Verantwortlichen oder gegen den Auftragsverarbeiter.</w:t>
      </w:r>
    </w:p>
    <w:p w14:paraId="51E100B7" w14:textId="24A33755"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 xml:space="preserve">(2) Jeder an einer Verarbeitung beteiligte Verantwortliche haftet für den Schaden, der durch eine nicht dieser Verordnung entsprechende Verarbeitung verursacht wurde. Ein Auftragsverarbeiter </w:t>
      </w:r>
      <w:r w:rsidR="00EB1422">
        <w:rPr>
          <w:rFonts w:ascii="Arial" w:hAnsi="Arial" w:cs="Arial"/>
          <w:color w:val="595959" w:themeColor="text1" w:themeTint="A6"/>
          <w:sz w:val="20"/>
          <w:szCs w:val="20"/>
        </w:rPr>
        <w:t>h</w:t>
      </w:r>
      <w:r w:rsidRPr="00356F40">
        <w:rPr>
          <w:rFonts w:ascii="Arial" w:hAnsi="Arial" w:cs="Arial"/>
          <w:color w:val="595959" w:themeColor="text1" w:themeTint="A6"/>
          <w:sz w:val="20"/>
          <w:szCs w:val="20"/>
        </w:rPr>
        <w:t>aftet für den durch eine Verarbeitung verursachten Schaden nur dann, wenn er seinen speziell den Auftragsverarbeitern auferlegten Pflichten aus dieser Verordnung nicht nachgekommen ist oder unter Nichtbeachtung der rechtmäßig erteilten Anweisungen des für die Datenverarbeitung Verantwortlichen oder gegen diese Anweisungen gehandelt hat.</w:t>
      </w:r>
    </w:p>
    <w:p w14:paraId="3FE547D2" w14:textId="5B2C959F"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(3) Der Verantwortliche oder der Auftragsverarbeiter wird von der Haftung gemäß Absatz 2 befreit, wenn er nachweist, dass er in keinerlei Hinsicht für den Umstand, durch den der Schaden eingetreten ist, verantwortlich ist.</w:t>
      </w:r>
    </w:p>
    <w:p w14:paraId="5A0106E0" w14:textId="77777777"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 xml:space="preserve">(4) Ist mehr als ein Verantwortlicher oder mehr als ein Auftragsverarbeiter bzw. sowohl ein Verantwortlicher als auch ein Auftragsverarbeiter an derselben Verarbeitung beteiligt und sind sie gemäß den Absätzen 2 und 3 für einen durch die Verarbeitung verursachten Schaden verantwortlich, so haftet jeder Verantwortliche oder jeder Auftragsverarbeiter für den gesamten Schaden, </w:t>
      </w:r>
      <w:r w:rsidRPr="00356F40">
        <w:rPr>
          <w:rFonts w:ascii="Arial" w:hAnsi="Arial" w:cs="Arial"/>
          <w:color w:val="595959" w:themeColor="text1" w:themeTint="A6"/>
          <w:sz w:val="20"/>
          <w:szCs w:val="20"/>
        </w:rPr>
        <w:lastRenderedPageBreak/>
        <w:t>damit ein wirksamer Schadensersatz für die betroffene Person sichergestellt ist.</w:t>
      </w:r>
    </w:p>
    <w:p w14:paraId="74719311" w14:textId="77777777" w:rsidR="00A67260" w:rsidRPr="00356F40" w:rsidRDefault="00A67260" w:rsidP="00A67260">
      <w:pPr>
        <w:jc w:val="both"/>
        <w:rPr>
          <w:rFonts w:ascii="Arial" w:hAnsi="Arial" w:cs="Arial"/>
          <w:color w:val="595959" w:themeColor="text1" w:themeTint="A6"/>
          <w:sz w:val="20"/>
          <w:szCs w:val="20"/>
        </w:rPr>
      </w:pPr>
      <w:r w:rsidRPr="00356F40">
        <w:rPr>
          <w:rFonts w:ascii="Arial" w:hAnsi="Arial" w:cs="Arial"/>
          <w:color w:val="595959" w:themeColor="text1" w:themeTint="A6"/>
          <w:sz w:val="20"/>
          <w:szCs w:val="20"/>
        </w:rPr>
        <w:t xml:space="preserve">(5) Hat ein Verantwortlicher oder Auftragsverarbeiter gemäß Absatz 4 vollständigen Schadenersatz für den erlittenen Schaden gezahlt, so ist dieser Verantwortliche oder Auftragsverarbeiter berechtigt, von den übrigen an derselben Verarbeitung beteiligten für die Datenverarbeitung Verantwortlichen oder Auftragsverarbeitern den Teil des </w:t>
      </w:r>
      <w:r w:rsidRPr="00356F40">
        <w:rPr>
          <w:rFonts w:ascii="Arial" w:hAnsi="Arial" w:cs="Arial"/>
          <w:color w:val="595959" w:themeColor="text1" w:themeTint="A6"/>
          <w:sz w:val="20"/>
          <w:szCs w:val="20"/>
        </w:rPr>
        <w:t>Schadenersatzes zurückzufordern, der unter den in Absatz 2 festgelegten Bedingungen ihrem Anteil an der Verantwortung für den Schaden entspricht.</w:t>
      </w:r>
    </w:p>
    <w:p w14:paraId="319E8906" w14:textId="5FCE2742" w:rsidR="00A67260" w:rsidRPr="00356F40" w:rsidRDefault="00A67260" w:rsidP="00A67260">
      <w:pPr>
        <w:jc w:val="both"/>
        <w:rPr>
          <w:rFonts w:ascii="Arial" w:hAnsi="Arial" w:cs="Arial"/>
          <w:color w:val="595959" w:themeColor="text1" w:themeTint="A6"/>
          <w:sz w:val="20"/>
          <w:szCs w:val="20"/>
        </w:rPr>
        <w:sectPr w:rsidR="00A67260" w:rsidRPr="00356F40" w:rsidSect="00A67260">
          <w:type w:val="continuous"/>
          <w:pgSz w:w="11906" w:h="16838" w:code="9"/>
          <w:pgMar w:top="1418" w:right="1418" w:bottom="1134" w:left="1418" w:header="737" w:footer="709" w:gutter="0"/>
          <w:paperSrc w:first="7"/>
          <w:cols w:num="2" w:space="708"/>
          <w:docGrid w:linePitch="360"/>
        </w:sectPr>
      </w:pPr>
      <w:r w:rsidRPr="00356F40">
        <w:rPr>
          <w:rFonts w:ascii="Arial" w:hAnsi="Arial" w:cs="Arial"/>
          <w:color w:val="595959" w:themeColor="text1" w:themeTint="A6"/>
          <w:sz w:val="20"/>
          <w:szCs w:val="20"/>
        </w:rPr>
        <w:t>(6) Mit Gerichtsverfahren zur Inanspruchnahme des Rechts auf Schadenersatz sind die Gerichte zu befassen, die nach den in Artikel 79 Absatz 2 genannten Rechtsvorschriften des Mitgliedstaats zuständig sind</w:t>
      </w:r>
      <w:r w:rsidR="00356F40" w:rsidRPr="00356F40">
        <w:rPr>
          <w:rFonts w:ascii="Arial" w:hAnsi="Arial" w:cs="Arial"/>
          <w:color w:val="595959" w:themeColor="text1" w:themeTint="A6"/>
          <w:sz w:val="20"/>
          <w:szCs w:val="20"/>
        </w:rPr>
        <w:t>.</w:t>
      </w:r>
    </w:p>
    <w:p w14:paraId="4C2E3CA6" w14:textId="24AD2EF4" w:rsidR="00356F40" w:rsidRDefault="00356F40" w:rsidP="00356F40">
      <w:pPr>
        <w:rPr>
          <w:rFonts w:ascii="Arial" w:hAnsi="Arial" w:cs="Arial"/>
        </w:rPr>
      </w:pPr>
    </w:p>
    <w:p w14:paraId="22EEFC5E" w14:textId="77777777" w:rsidR="00356F40" w:rsidRPr="00356F40" w:rsidRDefault="00356F40" w:rsidP="00356F40">
      <w:pPr>
        <w:rPr>
          <w:rFonts w:ascii="Arial" w:hAnsi="Arial" w:cs="Arial"/>
        </w:rPr>
      </w:pPr>
    </w:p>
    <w:sectPr w:rsidR="00356F40" w:rsidRPr="00356F40" w:rsidSect="00015AB0">
      <w:type w:val="continuous"/>
      <w:pgSz w:w="11906" w:h="16838" w:code="9"/>
      <w:pgMar w:top="1418" w:right="1418" w:bottom="1134" w:left="1418" w:header="737"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33F8" w14:textId="77777777" w:rsidR="0012663F" w:rsidRDefault="0012663F" w:rsidP="004918F7">
      <w:pPr>
        <w:spacing w:after="0" w:line="240" w:lineRule="auto"/>
      </w:pPr>
      <w:r>
        <w:separator/>
      </w:r>
    </w:p>
  </w:endnote>
  <w:endnote w:type="continuationSeparator" w:id="0">
    <w:p w14:paraId="5A622711" w14:textId="77777777" w:rsidR="0012663F" w:rsidRDefault="0012663F" w:rsidP="0049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rai Med">
    <w:panose1 w:val="00000000000000000000"/>
    <w:charset w:val="00"/>
    <w:family w:val="auto"/>
    <w:pitch w:val="variable"/>
    <w:sig w:usb0="A00000AF" w:usb1="5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CA14" w14:textId="40E9D965" w:rsidR="00EB1422" w:rsidRPr="00EB1422" w:rsidRDefault="0012663F" w:rsidP="00EB1422">
    <w:pPr>
      <w:pStyle w:val="Fuzeile"/>
      <w:rPr>
        <w:rFonts w:ascii="Arial" w:hAnsi="Arial" w:cs="Arial"/>
        <w:color w:val="595959" w:themeColor="text1" w:themeTint="A6"/>
        <w:sz w:val="20"/>
        <w:szCs w:val="20"/>
      </w:rPr>
    </w:pPr>
    <w:sdt>
      <w:sdtPr>
        <w:rPr>
          <w:rFonts w:ascii="Arial" w:hAnsi="Arial" w:cs="Arial"/>
          <w:color w:val="595959" w:themeColor="text1" w:themeTint="A6"/>
          <w:sz w:val="20"/>
          <w:szCs w:val="20"/>
        </w:rPr>
        <w:id w:val="-1842922146"/>
        <w:docPartObj>
          <w:docPartGallery w:val="Page Numbers (Bottom of Page)"/>
          <w:docPartUnique/>
        </w:docPartObj>
      </w:sdtPr>
      <w:sdtEndPr/>
      <w:sdtContent>
        <w:r w:rsidR="00EB1422" w:rsidRPr="00EB1422">
          <w:rPr>
            <w:rFonts w:ascii="Arial" w:hAnsi="Arial" w:cs="Arial"/>
            <w:color w:val="595959" w:themeColor="text1" w:themeTint="A6"/>
            <w:sz w:val="20"/>
          </w:rPr>
          <w:t xml:space="preserve">Verpflichtung auf das Datengeheimnis, © Keyed GmbH                </w:t>
        </w:r>
        <w:r w:rsidR="00EB1422" w:rsidRPr="00EB1422">
          <w:rPr>
            <w:rFonts w:ascii="Arial" w:hAnsi="Arial" w:cs="Arial"/>
            <w:color w:val="595959" w:themeColor="text1" w:themeTint="A6"/>
            <w:sz w:val="20"/>
          </w:rPr>
          <w:tab/>
        </w:r>
        <w:r w:rsidR="00EB1422" w:rsidRPr="00EB1422">
          <w:rPr>
            <w:rFonts w:ascii="Arial" w:hAnsi="Arial" w:cs="Arial"/>
            <w:color w:val="595959" w:themeColor="text1" w:themeTint="A6"/>
            <w:sz w:val="20"/>
            <w:szCs w:val="20"/>
          </w:rPr>
          <w:t xml:space="preserve">Seite </w:t>
        </w:r>
        <w:r w:rsidR="00EB1422" w:rsidRPr="00EB1422">
          <w:rPr>
            <w:rFonts w:ascii="Arial" w:hAnsi="Arial" w:cs="Arial"/>
            <w:color w:val="595959" w:themeColor="text1" w:themeTint="A6"/>
            <w:sz w:val="20"/>
            <w:szCs w:val="20"/>
          </w:rPr>
          <w:fldChar w:fldCharType="begin"/>
        </w:r>
        <w:r w:rsidR="00EB1422" w:rsidRPr="00EB1422">
          <w:rPr>
            <w:rFonts w:ascii="Arial" w:hAnsi="Arial" w:cs="Arial"/>
            <w:color w:val="595959" w:themeColor="text1" w:themeTint="A6"/>
            <w:sz w:val="20"/>
            <w:szCs w:val="20"/>
          </w:rPr>
          <w:instrText>PAGE   \* MERGEFORMAT</w:instrText>
        </w:r>
        <w:r w:rsidR="00EB1422" w:rsidRPr="00EB1422">
          <w:rPr>
            <w:rFonts w:ascii="Arial" w:hAnsi="Arial" w:cs="Arial"/>
            <w:color w:val="595959" w:themeColor="text1" w:themeTint="A6"/>
            <w:sz w:val="20"/>
            <w:szCs w:val="20"/>
          </w:rPr>
          <w:fldChar w:fldCharType="separate"/>
        </w:r>
        <w:r w:rsidR="00EB1422" w:rsidRPr="00EB1422">
          <w:rPr>
            <w:rFonts w:ascii="Arial" w:hAnsi="Arial" w:cs="Arial"/>
            <w:color w:val="595959" w:themeColor="text1" w:themeTint="A6"/>
            <w:sz w:val="20"/>
            <w:szCs w:val="20"/>
          </w:rPr>
          <w:t>2</w:t>
        </w:r>
        <w:r w:rsidR="00EB1422" w:rsidRPr="00EB1422">
          <w:rPr>
            <w:rFonts w:ascii="Arial" w:hAnsi="Arial" w:cs="Arial"/>
            <w:color w:val="595959" w:themeColor="text1" w:themeTint="A6"/>
            <w:sz w:val="20"/>
            <w:szCs w:val="20"/>
          </w:rPr>
          <w:fldChar w:fldCharType="end"/>
        </w:r>
        <w:r w:rsidR="00EB1422" w:rsidRPr="00EB1422">
          <w:rPr>
            <w:rFonts w:ascii="Arial" w:hAnsi="Arial" w:cs="Arial"/>
            <w:color w:val="595959" w:themeColor="text1" w:themeTint="A6"/>
            <w:sz w:val="20"/>
            <w:szCs w:val="20"/>
          </w:rPr>
          <w:t>/</w:t>
        </w:r>
        <w:r w:rsidR="00036C1B">
          <w:rPr>
            <w:rFonts w:ascii="Arial" w:hAnsi="Arial" w:cs="Arial"/>
            <w:color w:val="595959" w:themeColor="text1" w:themeTint="A6"/>
            <w:sz w:val="20"/>
            <w:szCs w:val="20"/>
          </w:rPr>
          <w:t>7</w:t>
        </w:r>
      </w:sdtContent>
    </w:sdt>
  </w:p>
  <w:p w14:paraId="09746215" w14:textId="3752FE8A" w:rsidR="00C62155" w:rsidRPr="00C62155" w:rsidRDefault="00C62155">
    <w:pPr>
      <w:pStyle w:val="Fuzeile"/>
      <w:rPr>
        <w:rFonts w:ascii="Arial" w:hAnsi="Arial" w:cs="Arial"/>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FDDE" w14:textId="77777777" w:rsidR="0012663F" w:rsidRDefault="0012663F" w:rsidP="004918F7">
      <w:pPr>
        <w:spacing w:after="0" w:line="240" w:lineRule="auto"/>
      </w:pPr>
      <w:r>
        <w:separator/>
      </w:r>
    </w:p>
  </w:footnote>
  <w:footnote w:type="continuationSeparator" w:id="0">
    <w:p w14:paraId="408A3B51" w14:textId="77777777" w:rsidR="0012663F" w:rsidRDefault="0012663F" w:rsidP="0049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9442" w14:textId="5A692EC0" w:rsidR="00B97B18" w:rsidRPr="00D601BA" w:rsidRDefault="00D601BA" w:rsidP="00A21A76">
    <w:pPr>
      <w:pStyle w:val="Kopfzeile"/>
      <w:jc w:val="center"/>
      <w:rPr>
        <w:color w:val="FF0000"/>
        <w:sz w:val="40"/>
        <w:szCs w:val="52"/>
      </w:rPr>
    </w:pPr>
    <w:r w:rsidRPr="00D601BA">
      <w:rPr>
        <w:noProof/>
        <w:color w:val="FF0000"/>
        <w:sz w:val="40"/>
        <w:szCs w:val="52"/>
      </w:rPr>
      <w:t>LOGO</w:t>
    </w:r>
  </w:p>
  <w:p w14:paraId="687B0B01" w14:textId="53621322" w:rsidR="00336942" w:rsidRDefault="00336942" w:rsidP="00A21A76">
    <w:pPr>
      <w:pStyle w:val="Kopfzeile"/>
      <w:jc w:val="center"/>
    </w:pPr>
  </w:p>
  <w:p w14:paraId="7484DD29" w14:textId="77777777" w:rsidR="00336942" w:rsidRDefault="00336942" w:rsidP="00A21A76">
    <w:pPr>
      <w:pStyle w:val="Kopfzeile"/>
      <w:jc w:val="center"/>
    </w:pPr>
  </w:p>
  <w:p w14:paraId="30490659" w14:textId="77777777" w:rsidR="00A21A76" w:rsidRDefault="00A21A76" w:rsidP="00A21A7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769FC"/>
    <w:multiLevelType w:val="hybridMultilevel"/>
    <w:tmpl w:val="92869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03"/>
    <w:rsid w:val="000015F9"/>
    <w:rsid w:val="00012E03"/>
    <w:rsid w:val="00015AB0"/>
    <w:rsid w:val="00030AE1"/>
    <w:rsid w:val="00036C1B"/>
    <w:rsid w:val="0005774D"/>
    <w:rsid w:val="00077C27"/>
    <w:rsid w:val="00084406"/>
    <w:rsid w:val="0009161B"/>
    <w:rsid w:val="000D2AE3"/>
    <w:rsid w:val="000E16D8"/>
    <w:rsid w:val="000E2D3A"/>
    <w:rsid w:val="000E3F5F"/>
    <w:rsid w:val="000E4D34"/>
    <w:rsid w:val="000F10C6"/>
    <w:rsid w:val="00102CCF"/>
    <w:rsid w:val="00103C8B"/>
    <w:rsid w:val="00110BCE"/>
    <w:rsid w:val="001118DE"/>
    <w:rsid w:val="001172B0"/>
    <w:rsid w:val="00117ADD"/>
    <w:rsid w:val="0012663F"/>
    <w:rsid w:val="00142A25"/>
    <w:rsid w:val="00160DB8"/>
    <w:rsid w:val="00177BAC"/>
    <w:rsid w:val="001839DA"/>
    <w:rsid w:val="001A0E33"/>
    <w:rsid w:val="001A7668"/>
    <w:rsid w:val="001B16CA"/>
    <w:rsid w:val="001B7FB7"/>
    <w:rsid w:val="001D0ECA"/>
    <w:rsid w:val="001D3CA7"/>
    <w:rsid w:val="001D4A3B"/>
    <w:rsid w:val="001F0675"/>
    <w:rsid w:val="001F2813"/>
    <w:rsid w:val="001F33EE"/>
    <w:rsid w:val="001F5513"/>
    <w:rsid w:val="001F5E59"/>
    <w:rsid w:val="00200C60"/>
    <w:rsid w:val="00214CD3"/>
    <w:rsid w:val="00215A47"/>
    <w:rsid w:val="00217F43"/>
    <w:rsid w:val="002237FC"/>
    <w:rsid w:val="00236682"/>
    <w:rsid w:val="002519EC"/>
    <w:rsid w:val="00254037"/>
    <w:rsid w:val="00284025"/>
    <w:rsid w:val="0029471F"/>
    <w:rsid w:val="002A2A81"/>
    <w:rsid w:val="002A6EDB"/>
    <w:rsid w:val="002B1621"/>
    <w:rsid w:val="002B4FB9"/>
    <w:rsid w:val="002C1F73"/>
    <w:rsid w:val="002D6D6E"/>
    <w:rsid w:val="002E0D78"/>
    <w:rsid w:val="002E1361"/>
    <w:rsid w:val="002E163A"/>
    <w:rsid w:val="002E7617"/>
    <w:rsid w:val="003002E1"/>
    <w:rsid w:val="00315BF3"/>
    <w:rsid w:val="00320986"/>
    <w:rsid w:val="00336942"/>
    <w:rsid w:val="003441C6"/>
    <w:rsid w:val="00346224"/>
    <w:rsid w:val="0034790B"/>
    <w:rsid w:val="00352144"/>
    <w:rsid w:val="00356F40"/>
    <w:rsid w:val="00357FE0"/>
    <w:rsid w:val="003668D0"/>
    <w:rsid w:val="003674D3"/>
    <w:rsid w:val="00373998"/>
    <w:rsid w:val="00395A16"/>
    <w:rsid w:val="003C036C"/>
    <w:rsid w:val="003C3DAF"/>
    <w:rsid w:val="003E5876"/>
    <w:rsid w:val="00401124"/>
    <w:rsid w:val="004111DD"/>
    <w:rsid w:val="00411317"/>
    <w:rsid w:val="004413D2"/>
    <w:rsid w:val="004450D7"/>
    <w:rsid w:val="004524CE"/>
    <w:rsid w:val="00452DAF"/>
    <w:rsid w:val="004626EC"/>
    <w:rsid w:val="00487DE4"/>
    <w:rsid w:val="004918F7"/>
    <w:rsid w:val="004A1182"/>
    <w:rsid w:val="004A4AB6"/>
    <w:rsid w:val="004D1377"/>
    <w:rsid w:val="004D5E2F"/>
    <w:rsid w:val="004D7824"/>
    <w:rsid w:val="004F0366"/>
    <w:rsid w:val="005021A5"/>
    <w:rsid w:val="00502DE6"/>
    <w:rsid w:val="00512597"/>
    <w:rsid w:val="0051368B"/>
    <w:rsid w:val="0054020E"/>
    <w:rsid w:val="00545C27"/>
    <w:rsid w:val="00547E40"/>
    <w:rsid w:val="005534A6"/>
    <w:rsid w:val="00557D3C"/>
    <w:rsid w:val="005769E1"/>
    <w:rsid w:val="005808C9"/>
    <w:rsid w:val="00580C17"/>
    <w:rsid w:val="00583BBD"/>
    <w:rsid w:val="005A347A"/>
    <w:rsid w:val="005A4184"/>
    <w:rsid w:val="005B2C9A"/>
    <w:rsid w:val="005F45D3"/>
    <w:rsid w:val="005F712D"/>
    <w:rsid w:val="0060181E"/>
    <w:rsid w:val="00602889"/>
    <w:rsid w:val="0060683E"/>
    <w:rsid w:val="006164A6"/>
    <w:rsid w:val="00645DFC"/>
    <w:rsid w:val="00650E3B"/>
    <w:rsid w:val="00651ECD"/>
    <w:rsid w:val="006537F9"/>
    <w:rsid w:val="006706A2"/>
    <w:rsid w:val="006864ED"/>
    <w:rsid w:val="006B63F3"/>
    <w:rsid w:val="006E4B81"/>
    <w:rsid w:val="006E5A13"/>
    <w:rsid w:val="0070200A"/>
    <w:rsid w:val="007055CE"/>
    <w:rsid w:val="007161F7"/>
    <w:rsid w:val="007266B9"/>
    <w:rsid w:val="0072699F"/>
    <w:rsid w:val="00732DB5"/>
    <w:rsid w:val="0073339F"/>
    <w:rsid w:val="007364AB"/>
    <w:rsid w:val="00763057"/>
    <w:rsid w:val="00773BA7"/>
    <w:rsid w:val="00782BA0"/>
    <w:rsid w:val="00785951"/>
    <w:rsid w:val="00797238"/>
    <w:rsid w:val="007D5151"/>
    <w:rsid w:val="007E0FB4"/>
    <w:rsid w:val="007F17D9"/>
    <w:rsid w:val="0080195B"/>
    <w:rsid w:val="008233BB"/>
    <w:rsid w:val="008244DD"/>
    <w:rsid w:val="00831FC8"/>
    <w:rsid w:val="00835F0C"/>
    <w:rsid w:val="00844E8A"/>
    <w:rsid w:val="00847DD0"/>
    <w:rsid w:val="00850DD9"/>
    <w:rsid w:val="00852226"/>
    <w:rsid w:val="00852BE9"/>
    <w:rsid w:val="00874D47"/>
    <w:rsid w:val="00880FA2"/>
    <w:rsid w:val="0088329C"/>
    <w:rsid w:val="00883BAD"/>
    <w:rsid w:val="00892C30"/>
    <w:rsid w:val="0089409E"/>
    <w:rsid w:val="008B3021"/>
    <w:rsid w:val="008D74C3"/>
    <w:rsid w:val="008E4C83"/>
    <w:rsid w:val="00912967"/>
    <w:rsid w:val="00926400"/>
    <w:rsid w:val="0093520F"/>
    <w:rsid w:val="0094249C"/>
    <w:rsid w:val="0094400D"/>
    <w:rsid w:val="0095042D"/>
    <w:rsid w:val="00955A9F"/>
    <w:rsid w:val="00967C48"/>
    <w:rsid w:val="0098597E"/>
    <w:rsid w:val="00986E20"/>
    <w:rsid w:val="00990A15"/>
    <w:rsid w:val="009C2669"/>
    <w:rsid w:val="009D1C45"/>
    <w:rsid w:val="009D30EF"/>
    <w:rsid w:val="009E3C13"/>
    <w:rsid w:val="009E4742"/>
    <w:rsid w:val="009E553C"/>
    <w:rsid w:val="009E61A4"/>
    <w:rsid w:val="009F1858"/>
    <w:rsid w:val="009F549C"/>
    <w:rsid w:val="00A0063C"/>
    <w:rsid w:val="00A05710"/>
    <w:rsid w:val="00A06CAF"/>
    <w:rsid w:val="00A1586B"/>
    <w:rsid w:val="00A215E6"/>
    <w:rsid w:val="00A21A76"/>
    <w:rsid w:val="00A254B4"/>
    <w:rsid w:val="00A3574E"/>
    <w:rsid w:val="00A5050A"/>
    <w:rsid w:val="00A556A9"/>
    <w:rsid w:val="00A61088"/>
    <w:rsid w:val="00A67260"/>
    <w:rsid w:val="00A77B42"/>
    <w:rsid w:val="00A9154F"/>
    <w:rsid w:val="00AA43AD"/>
    <w:rsid w:val="00AA48E7"/>
    <w:rsid w:val="00AA500E"/>
    <w:rsid w:val="00AB69D1"/>
    <w:rsid w:val="00AB77D6"/>
    <w:rsid w:val="00AC7B2E"/>
    <w:rsid w:val="00AD1DE8"/>
    <w:rsid w:val="00AF33D8"/>
    <w:rsid w:val="00AF76C8"/>
    <w:rsid w:val="00B07E2E"/>
    <w:rsid w:val="00B178FD"/>
    <w:rsid w:val="00B22C00"/>
    <w:rsid w:val="00B37A0F"/>
    <w:rsid w:val="00B424DB"/>
    <w:rsid w:val="00B6081B"/>
    <w:rsid w:val="00B61A31"/>
    <w:rsid w:val="00B61C32"/>
    <w:rsid w:val="00B62935"/>
    <w:rsid w:val="00B70375"/>
    <w:rsid w:val="00B80A03"/>
    <w:rsid w:val="00B824F1"/>
    <w:rsid w:val="00B9470A"/>
    <w:rsid w:val="00B94D09"/>
    <w:rsid w:val="00B97B18"/>
    <w:rsid w:val="00BA2420"/>
    <w:rsid w:val="00BB0937"/>
    <w:rsid w:val="00BB0B1C"/>
    <w:rsid w:val="00BC4D44"/>
    <w:rsid w:val="00BD677A"/>
    <w:rsid w:val="00BE22E5"/>
    <w:rsid w:val="00BE5B98"/>
    <w:rsid w:val="00BE7C3B"/>
    <w:rsid w:val="00BF1DD7"/>
    <w:rsid w:val="00C057EF"/>
    <w:rsid w:val="00C131AA"/>
    <w:rsid w:val="00C226F8"/>
    <w:rsid w:val="00C22DE3"/>
    <w:rsid w:val="00C25875"/>
    <w:rsid w:val="00C347DC"/>
    <w:rsid w:val="00C352DF"/>
    <w:rsid w:val="00C4322A"/>
    <w:rsid w:val="00C51AA1"/>
    <w:rsid w:val="00C62155"/>
    <w:rsid w:val="00C705F2"/>
    <w:rsid w:val="00C71981"/>
    <w:rsid w:val="00C8213A"/>
    <w:rsid w:val="00C82F3D"/>
    <w:rsid w:val="00C929EA"/>
    <w:rsid w:val="00CA4D8E"/>
    <w:rsid w:val="00CA6618"/>
    <w:rsid w:val="00CA71AB"/>
    <w:rsid w:val="00CB19E1"/>
    <w:rsid w:val="00CC350A"/>
    <w:rsid w:val="00CC4970"/>
    <w:rsid w:val="00CE053E"/>
    <w:rsid w:val="00D01D1F"/>
    <w:rsid w:val="00D07439"/>
    <w:rsid w:val="00D14966"/>
    <w:rsid w:val="00D24B39"/>
    <w:rsid w:val="00D27CA9"/>
    <w:rsid w:val="00D32629"/>
    <w:rsid w:val="00D37C73"/>
    <w:rsid w:val="00D43907"/>
    <w:rsid w:val="00D601BA"/>
    <w:rsid w:val="00D6730D"/>
    <w:rsid w:val="00D74838"/>
    <w:rsid w:val="00D8475A"/>
    <w:rsid w:val="00D93FC2"/>
    <w:rsid w:val="00D94C4F"/>
    <w:rsid w:val="00DA2501"/>
    <w:rsid w:val="00DA7E4E"/>
    <w:rsid w:val="00DB4F02"/>
    <w:rsid w:val="00DB6547"/>
    <w:rsid w:val="00DB6F2C"/>
    <w:rsid w:val="00DC2803"/>
    <w:rsid w:val="00DC35C5"/>
    <w:rsid w:val="00DD0BCC"/>
    <w:rsid w:val="00DE078B"/>
    <w:rsid w:val="00E0180C"/>
    <w:rsid w:val="00E06FEA"/>
    <w:rsid w:val="00E1067C"/>
    <w:rsid w:val="00E15B43"/>
    <w:rsid w:val="00E43885"/>
    <w:rsid w:val="00E51FDB"/>
    <w:rsid w:val="00E579E4"/>
    <w:rsid w:val="00E7360E"/>
    <w:rsid w:val="00E75080"/>
    <w:rsid w:val="00E83C25"/>
    <w:rsid w:val="00E91C07"/>
    <w:rsid w:val="00E92465"/>
    <w:rsid w:val="00E92C3E"/>
    <w:rsid w:val="00EA1B4E"/>
    <w:rsid w:val="00EA7E44"/>
    <w:rsid w:val="00EB1422"/>
    <w:rsid w:val="00EB2A58"/>
    <w:rsid w:val="00EB4FA6"/>
    <w:rsid w:val="00EB7346"/>
    <w:rsid w:val="00EC5F75"/>
    <w:rsid w:val="00EE20E1"/>
    <w:rsid w:val="00F2110D"/>
    <w:rsid w:val="00F26EAC"/>
    <w:rsid w:val="00F61D8A"/>
    <w:rsid w:val="00F8097C"/>
    <w:rsid w:val="00F859BF"/>
    <w:rsid w:val="00FA27B6"/>
    <w:rsid w:val="00FA2C39"/>
    <w:rsid w:val="00FA6265"/>
    <w:rsid w:val="00FB028B"/>
    <w:rsid w:val="00FC2A0E"/>
    <w:rsid w:val="00FC6E8D"/>
    <w:rsid w:val="00FE0B45"/>
    <w:rsid w:val="00FF2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2EDD1"/>
  <w15:chartTrackingRefBased/>
  <w15:docId w15:val="{D704316B-54A5-4DF7-9DCE-51CA76B3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Keyed Dunkelgrau (klein)"/>
    <w:qFormat/>
    <w:rsid w:val="00A1586B"/>
    <w:rPr>
      <w:rFonts w:ascii="Mirai Med" w:hAnsi="Mirai Med"/>
      <w:color w:val="4C524D"/>
      <w:sz w:val="24"/>
    </w:rPr>
  </w:style>
  <w:style w:type="paragraph" w:styleId="berschrift1">
    <w:name w:val="heading 1"/>
    <w:aliases w:val="Keyed Überschrift"/>
    <w:basedOn w:val="Standard"/>
    <w:next w:val="Standard"/>
    <w:link w:val="berschrift1Zchn"/>
    <w:autoRedefine/>
    <w:uiPriority w:val="9"/>
    <w:qFormat/>
    <w:rsid w:val="008D74C3"/>
    <w:pPr>
      <w:keepNext/>
      <w:keepLines/>
      <w:spacing w:before="240" w:after="0"/>
      <w:ind w:right="269"/>
      <w:outlineLvl w:val="0"/>
    </w:pPr>
    <w:rPr>
      <w:rFonts w:eastAsiaTheme="majorEastAsia" w:cstheme="majorBidi"/>
      <w:color w:val="37B6AE"/>
      <w:sz w:val="36"/>
      <w:szCs w:val="32"/>
    </w:rPr>
  </w:style>
  <w:style w:type="paragraph" w:styleId="berschrift2">
    <w:name w:val="heading 2"/>
    <w:aliases w:val="Keyed Grau"/>
    <w:basedOn w:val="Standard"/>
    <w:next w:val="Standard"/>
    <w:link w:val="berschrift2Zchn"/>
    <w:autoRedefine/>
    <w:uiPriority w:val="9"/>
    <w:unhideWhenUsed/>
    <w:qFormat/>
    <w:rsid w:val="00C226F8"/>
    <w:pPr>
      <w:keepNext/>
      <w:keepLines/>
      <w:spacing w:before="40" w:after="0"/>
      <w:outlineLvl w:val="1"/>
    </w:pPr>
    <w:rPr>
      <w:rFonts w:eastAsiaTheme="majorEastAsia" w:cstheme="majorBidi"/>
      <w:sz w:val="26"/>
      <w:szCs w:val="26"/>
    </w:rPr>
  </w:style>
  <w:style w:type="paragraph" w:styleId="berschrift3">
    <w:name w:val="heading 3"/>
    <w:aliases w:val="Keyed Überschrift (klein)"/>
    <w:basedOn w:val="Standard"/>
    <w:next w:val="Standard"/>
    <w:link w:val="berschrift3Zchn"/>
    <w:autoRedefine/>
    <w:uiPriority w:val="9"/>
    <w:unhideWhenUsed/>
    <w:qFormat/>
    <w:rsid w:val="00C226F8"/>
    <w:pPr>
      <w:keepNext/>
      <w:keepLines/>
      <w:spacing w:before="40" w:after="0" w:line="240" w:lineRule="auto"/>
      <w:outlineLvl w:val="2"/>
    </w:pPr>
    <w:rPr>
      <w:rFonts w:eastAsiaTheme="majorEastAsia" w:cstheme="majorBidi"/>
      <w:color w:val="37B6AE"/>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eyed Überschrift Zchn"/>
    <w:basedOn w:val="Absatz-Standardschriftart"/>
    <w:link w:val="berschrift1"/>
    <w:uiPriority w:val="9"/>
    <w:rsid w:val="008D74C3"/>
    <w:rPr>
      <w:rFonts w:ascii="Mirai Med" w:eastAsiaTheme="majorEastAsia" w:hAnsi="Mirai Med" w:cstheme="majorBidi"/>
      <w:color w:val="37B6AE"/>
      <w:sz w:val="36"/>
      <w:szCs w:val="32"/>
    </w:rPr>
  </w:style>
  <w:style w:type="character" w:customStyle="1" w:styleId="berschrift3Zchn">
    <w:name w:val="Überschrift 3 Zchn"/>
    <w:aliases w:val="Keyed Überschrift (klein) Zchn"/>
    <w:basedOn w:val="Absatz-Standardschriftart"/>
    <w:link w:val="berschrift3"/>
    <w:uiPriority w:val="9"/>
    <w:rsid w:val="00C226F8"/>
    <w:rPr>
      <w:rFonts w:ascii="Mirai Med" w:eastAsiaTheme="majorEastAsia" w:hAnsi="Mirai Med" w:cstheme="majorBidi"/>
      <w:color w:val="37B6AE"/>
      <w:sz w:val="28"/>
      <w:szCs w:val="24"/>
    </w:rPr>
  </w:style>
  <w:style w:type="character" w:customStyle="1" w:styleId="berschrift2Zchn">
    <w:name w:val="Überschrift 2 Zchn"/>
    <w:aliases w:val="Keyed Grau Zchn"/>
    <w:basedOn w:val="Absatz-Standardschriftart"/>
    <w:link w:val="berschrift2"/>
    <w:uiPriority w:val="9"/>
    <w:rsid w:val="00C226F8"/>
    <w:rPr>
      <w:rFonts w:ascii="Mirai Med" w:eastAsiaTheme="majorEastAsia" w:hAnsi="Mirai Med" w:cstheme="majorBidi"/>
      <w:color w:val="4C524D"/>
      <w:sz w:val="26"/>
      <w:szCs w:val="26"/>
    </w:rPr>
  </w:style>
  <w:style w:type="paragraph" w:styleId="KeinLeerraum">
    <w:name w:val="No Spacing"/>
    <w:aliases w:val="Keyed Dunkelgrau"/>
    <w:autoRedefine/>
    <w:uiPriority w:val="1"/>
    <w:qFormat/>
    <w:rsid w:val="00C226F8"/>
    <w:pPr>
      <w:spacing w:after="0" w:line="240" w:lineRule="auto"/>
      <w:jc w:val="center"/>
    </w:pPr>
    <w:rPr>
      <w:rFonts w:ascii="Mirai Med" w:hAnsi="Mirai Med"/>
      <w:color w:val="4C524D"/>
      <w:sz w:val="20"/>
    </w:rPr>
  </w:style>
  <w:style w:type="table" w:customStyle="1" w:styleId="KeyedTabelle">
    <w:name w:val="Keyed Tabelle"/>
    <w:basedOn w:val="NormaleTabelle"/>
    <w:uiPriority w:val="99"/>
    <w:rsid w:val="00C226F8"/>
    <w:pPr>
      <w:spacing w:after="0" w:line="240" w:lineRule="auto"/>
    </w:pPr>
    <w:rPr>
      <w:rFonts w:ascii="Mirai Med" w:hAnsi="Mirai Med"/>
      <w:color w:val="4C524D"/>
      <w:sz w:val="16"/>
    </w:rPr>
    <w:tblPr>
      <w:tblBorders>
        <w:top w:val="single" w:sz="4" w:space="0" w:color="4C524D"/>
        <w:left w:val="single" w:sz="4" w:space="0" w:color="4C524D"/>
        <w:bottom w:val="single" w:sz="4" w:space="0" w:color="4C524D"/>
        <w:right w:val="single" w:sz="4" w:space="0" w:color="4C524D"/>
        <w:insideH w:val="single" w:sz="4" w:space="0" w:color="4C524D"/>
        <w:insideV w:val="single" w:sz="4" w:space="0" w:color="4C524D"/>
      </w:tblBorders>
    </w:tblPr>
  </w:style>
  <w:style w:type="paragraph" w:customStyle="1" w:styleId="KeyedTrkis">
    <w:name w:val="Keyed Türkis"/>
    <w:basedOn w:val="berschrift3"/>
    <w:link w:val="KeyedTrkisZchn"/>
    <w:autoRedefine/>
    <w:qFormat/>
    <w:rsid w:val="00284025"/>
    <w:pPr>
      <w:spacing w:before="160"/>
      <w:ind w:right="282"/>
    </w:pPr>
    <w:rPr>
      <w:sz w:val="20"/>
    </w:rPr>
  </w:style>
  <w:style w:type="character" w:customStyle="1" w:styleId="KeyedTrkisZchn">
    <w:name w:val="Keyed Türkis Zchn"/>
    <w:basedOn w:val="berschrift3Zchn"/>
    <w:link w:val="KeyedTrkis"/>
    <w:rsid w:val="00284025"/>
    <w:rPr>
      <w:rFonts w:ascii="Mirai Med" w:eastAsiaTheme="majorEastAsia" w:hAnsi="Mirai Med" w:cstheme="majorBidi"/>
      <w:color w:val="37B6AE"/>
      <w:sz w:val="20"/>
      <w:szCs w:val="24"/>
    </w:rPr>
  </w:style>
  <w:style w:type="paragraph" w:styleId="Kopfzeile">
    <w:name w:val="header"/>
    <w:basedOn w:val="Standard"/>
    <w:link w:val="KopfzeileZchn"/>
    <w:uiPriority w:val="99"/>
    <w:unhideWhenUsed/>
    <w:rsid w:val="004918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18F7"/>
    <w:rPr>
      <w:rFonts w:ascii="Mirai Med" w:hAnsi="Mirai Med"/>
      <w:color w:val="4C524D"/>
      <w:sz w:val="24"/>
    </w:rPr>
  </w:style>
  <w:style w:type="paragraph" w:styleId="Fuzeile">
    <w:name w:val="footer"/>
    <w:basedOn w:val="Standard"/>
    <w:link w:val="FuzeileZchn"/>
    <w:uiPriority w:val="99"/>
    <w:unhideWhenUsed/>
    <w:rsid w:val="004918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18F7"/>
    <w:rPr>
      <w:rFonts w:ascii="Mirai Med" w:hAnsi="Mirai Med"/>
      <w:color w:val="4C524D"/>
      <w:sz w:val="24"/>
    </w:rPr>
  </w:style>
  <w:style w:type="character" w:styleId="Hyperlink">
    <w:name w:val="Hyperlink"/>
    <w:basedOn w:val="Absatz-Standardschriftart"/>
    <w:uiPriority w:val="99"/>
    <w:unhideWhenUsed/>
    <w:rsid w:val="004918F7"/>
    <w:rPr>
      <w:color w:val="0563C1" w:themeColor="hyperlink"/>
      <w:u w:val="single"/>
    </w:rPr>
  </w:style>
  <w:style w:type="character" w:styleId="NichtaufgelsteErwhnung">
    <w:name w:val="Unresolved Mention"/>
    <w:basedOn w:val="Absatz-Standardschriftart"/>
    <w:uiPriority w:val="99"/>
    <w:semiHidden/>
    <w:unhideWhenUsed/>
    <w:rsid w:val="00B97B18"/>
    <w:rPr>
      <w:color w:val="605E5C"/>
      <w:shd w:val="clear" w:color="auto" w:fill="E1DFDD"/>
    </w:rPr>
  </w:style>
  <w:style w:type="paragraph" w:styleId="Listenabsatz">
    <w:name w:val="List Paragraph"/>
    <w:basedOn w:val="Standard"/>
    <w:uiPriority w:val="34"/>
    <w:qFormat/>
    <w:rsid w:val="00A67260"/>
    <w:pPr>
      <w:ind w:left="720"/>
      <w:contextualSpacing/>
    </w:pPr>
  </w:style>
  <w:style w:type="paragraph" w:styleId="StandardWeb">
    <w:name w:val="Normal (Web)"/>
    <w:basedOn w:val="Standard"/>
    <w:uiPriority w:val="99"/>
    <w:unhideWhenUsed/>
    <w:rsid w:val="00356F40"/>
    <w:pPr>
      <w:spacing w:before="100" w:beforeAutospacing="1" w:after="100" w:afterAutospacing="1" w:line="240" w:lineRule="auto"/>
    </w:pPr>
    <w:rPr>
      <w:rFonts w:ascii="Times New Roman" w:eastAsia="Times New Roman" w:hAnsi="Times New Roman" w:cs="Times New Roman"/>
      <w:color w:val="auto"/>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613015">
      <w:bodyDiv w:val="1"/>
      <w:marLeft w:val="0"/>
      <w:marRight w:val="0"/>
      <w:marTop w:val="0"/>
      <w:marBottom w:val="0"/>
      <w:divBdr>
        <w:top w:val="none" w:sz="0" w:space="0" w:color="auto"/>
        <w:left w:val="none" w:sz="0" w:space="0" w:color="auto"/>
        <w:bottom w:val="none" w:sz="0" w:space="0" w:color="auto"/>
        <w:right w:val="none" w:sz="0" w:space="0" w:color="auto"/>
      </w:divBdr>
    </w:div>
    <w:div w:id="1082217406">
      <w:bodyDiv w:val="1"/>
      <w:marLeft w:val="0"/>
      <w:marRight w:val="0"/>
      <w:marTop w:val="0"/>
      <w:marBottom w:val="0"/>
      <w:divBdr>
        <w:top w:val="none" w:sz="0" w:space="0" w:color="auto"/>
        <w:left w:val="none" w:sz="0" w:space="0" w:color="auto"/>
        <w:bottom w:val="none" w:sz="0" w:space="0" w:color="auto"/>
        <w:right w:val="none" w:sz="0" w:space="0" w:color="auto"/>
      </w:divBdr>
    </w:div>
    <w:div w:id="12843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oellers@keye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jure.org/gesetze/DSGVO/42.html" TargetMode="External"/><Relationship Id="rId5" Type="http://schemas.openxmlformats.org/officeDocument/2006/relationships/footnotes" Target="footnotes.xml"/><Relationship Id="rId10" Type="http://schemas.openxmlformats.org/officeDocument/2006/relationships/hyperlink" Target="https://dejure.org/gesetze/DSGVO/40.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17250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Möllers - Möllers Büro u. Kopiersysteme</dc:creator>
  <cp:keywords/>
  <dc:description/>
  <cp:lastModifiedBy>Autor</cp:lastModifiedBy>
  <cp:revision>30</cp:revision>
  <cp:lastPrinted>2019-04-08T09:28:00Z</cp:lastPrinted>
  <dcterms:created xsi:type="dcterms:W3CDTF">2018-03-07T10:26:00Z</dcterms:created>
  <dcterms:modified xsi:type="dcterms:W3CDTF">2019-11-29T10:10:00Z</dcterms:modified>
</cp:coreProperties>
</file>